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1" w:name="X24d777146ddf85ab1abbc39c7c1ef31b7ee46d6"/>
    <w:p>
      <w:pPr>
        <w:pStyle w:val="Heading1"/>
      </w:pPr>
      <w:r>
        <w:t>Voorbeeldbrief 1: aan de gemeenteraad</w:t>
      </w:r>
    </w:p>
    <w:p>
      <w:pPr>
        <w:pStyle w:val="FirstParagraph"/>
      </w:pPr>
      <w:r>
        <w:rPr>
          <w:iCs/>
          <w:i/>
        </w:rPr>
        <w:t>Voorbeeldtekst op basis van openbare informatie. Pas deze aan je eigen situatie en standpunt aan. Voor formele stappen gelden de officiële publicatie en termijnen. Alle bronnen staan op crailo.info. Gebruik alleen de vragen en argumenten die voor jou van toepassing zijn en vul eigen gegevens in. Kies variant A of B, vul [..] in en verstuur via de griffie (griffie@huizen.nl) of rechtstreeks aan de fractie.</w:t>
      </w:r>
    </w:p>
    <w:bookmarkStart w:id="20" w:name="Xce7a9c352d9f420c20b50eb85b68092f10fbee7"/>
    <w:p>
      <w:pPr>
        <w:pStyle w:val="Heading2"/>
      </w:pPr>
      <w:r>
        <w:t>Adressering (fractievoorzitters volgens het raadsinformatiesysteem, peildatum 10 oktober 2026; controleer de actuele samenstelling in het raadsinformatiesysteem)</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Fractie (zetels)</w:t>
            </w:r>
          </w:p>
        </w:tc>
        <w:tc>
          <w:tcPr/>
          <w:p>
            <w:pPr>
              <w:pStyle w:val="Compact"/>
              <w:jc w:val="left"/>
            </w:pPr>
            <w:r>
              <w:t xml:space="preserve">Fractievoorzitter</w:t>
            </w:r>
          </w:p>
        </w:tc>
        <w:tc>
          <w:tcPr/>
          <w:p>
            <w:pPr>
              <w:pStyle w:val="Compact"/>
              <w:jc w:val="left"/>
            </w:pPr>
            <w:r>
              <w:t xml:space="preserve">E-mail (RIS)</w:t>
            </w:r>
          </w:p>
        </w:tc>
        <w:tc>
          <w:tcPr/>
          <w:p>
            <w:pPr>
              <w:pStyle w:val="Compact"/>
              <w:jc w:val="left"/>
            </w:pPr>
            <w:r>
              <w:t xml:space="preserve">Eigen norm in programma 2026-2030</w:t>
            </w:r>
          </w:p>
        </w:tc>
      </w:tr>
      <w:tr>
        <w:tc>
          <w:tcPr/>
          <w:p>
            <w:pPr>
              <w:pStyle w:val="Compact"/>
              <w:jc w:val="left"/>
            </w:pPr>
            <w:r>
              <w:t xml:space="preserve">VVD (5, coalitie)</w:t>
            </w:r>
          </w:p>
        </w:tc>
        <w:tc>
          <w:tcPr/>
          <w:p>
            <w:pPr>
              <w:pStyle w:val="Compact"/>
              <w:jc w:val="left"/>
            </w:pPr>
            <w:r>
              <w:t xml:space="preserve">Erwin Ormel (tevens vicevoorzitter raad)</w:t>
            </w:r>
          </w:p>
        </w:tc>
        <w:tc>
          <w:tcPr/>
          <w:p>
            <w:pPr>
              <w:pStyle w:val="Compact"/>
              <w:jc w:val="left"/>
            </w:pPr>
            <w:r>
              <w:t xml:space="preserve">[privé-adres niet opgenomen; via griffie@huizen.nl]</w:t>
            </w:r>
          </w:p>
        </w:tc>
        <w:tc>
          <w:tcPr/>
          <w:p>
            <w:pPr>
              <w:pStyle w:val="Compact"/>
              <w:jc w:val="left"/>
            </w:pPr>
            <w:r>
              <w:t xml:space="preserve">“</w:t>
            </w:r>
            <w:r>
              <w:t xml:space="preserve">alleen op kleinschalige locaties (maximaal 10 personen), waarvoor onder de direct aanwonenden voldoende draagvlak bestaat</w:t>
            </w:r>
            <w:r>
              <w:t xml:space="preserve">”</w:t>
            </w:r>
            <w:r>
              <w:t xml:space="preserve"> </w:t>
            </w:r>
            <w:r>
              <w:t xml:space="preserve">(p. 14); blog 9-10-2026: theoretische aantallen</w:t>
            </w:r>
            <w:r>
              <w:t xml:space="preserve"> </w:t>
            </w:r>
            <w:r>
              <w:t xml:space="preserve">“</w:t>
            </w:r>
            <w:r>
              <w:t xml:space="preserve">absoluut niet aan de orde</w:t>
            </w:r>
            <w:r>
              <w:t xml:space="preserve">”</w:t>
            </w:r>
          </w:p>
        </w:tc>
      </w:tr>
      <w:tr>
        <w:tc>
          <w:tcPr/>
          <w:p>
            <w:pPr>
              <w:pStyle w:val="Compact"/>
              <w:jc w:val="left"/>
            </w:pPr>
            <w:r>
              <w:t xml:space="preserve">Leefbaar Huizen (3, coalitie)</w:t>
            </w:r>
          </w:p>
        </w:tc>
        <w:tc>
          <w:tcPr/>
          <w:p>
            <w:pPr>
              <w:pStyle w:val="Compact"/>
              <w:jc w:val="left"/>
            </w:pPr>
            <w:r>
              <w:t xml:space="preserve">Bas van Woerkom</w:t>
            </w:r>
          </w:p>
        </w:tc>
        <w:tc>
          <w:tcPr/>
          <w:p>
            <w:pPr>
              <w:pStyle w:val="Compact"/>
              <w:jc w:val="left"/>
            </w:pPr>
            <w:r>
              <w:t xml:space="preserve">fractie@leefbaarhuizen.nl</w:t>
            </w:r>
          </w:p>
        </w:tc>
        <w:tc>
          <w:tcPr/>
          <w:p>
            <w:pPr>
              <w:pStyle w:val="Compact"/>
              <w:jc w:val="left"/>
            </w:pPr>
            <w:r>
              <w:t xml:space="preserve">“</w:t>
            </w:r>
            <w:r>
              <w:t xml:space="preserve">tegen grootschalige asielopvang. Kleinschalige opvang wordt alleen verantwoord geacht als er voldoende draagvlak is in de buurt en omwonenden vooraf nauw worden betrokken</w:t>
            </w:r>
            <w:r>
              <w:t xml:space="preserve">”</w:t>
            </w:r>
            <w:r>
              <w:t xml:space="preserve"> </w:t>
            </w:r>
            <w:r>
              <w:t xml:space="preserve">(v1.1, p. 12-13); site:</w:t>
            </w:r>
            <w:r>
              <w:t xml:space="preserve"> </w:t>
            </w:r>
            <w:r>
              <w:t xml:space="preserve">“</w:t>
            </w:r>
            <w:r>
              <w:t xml:space="preserve">geen grootschalige locaties, de rek is eruit</w:t>
            </w:r>
            <w:r>
              <w:t xml:space="preserve">”</w:t>
            </w:r>
          </w:p>
        </w:tc>
      </w:tr>
      <w:tr>
        <w:tc>
          <w:tcPr/>
          <w:p>
            <w:pPr>
              <w:pStyle w:val="Compact"/>
              <w:jc w:val="left"/>
            </w:pPr>
            <w:r>
              <w:t xml:space="preserve">CDA (3, coalitie)</w:t>
            </w:r>
          </w:p>
        </w:tc>
        <w:tc>
          <w:tcPr/>
          <w:p>
            <w:pPr>
              <w:pStyle w:val="Compact"/>
              <w:jc w:val="left"/>
            </w:pPr>
            <w:r>
              <w:t xml:space="preserve">Rutger Rebel</w:t>
            </w:r>
          </w:p>
        </w:tc>
        <w:tc>
          <w:tcPr/>
          <w:p>
            <w:pPr>
              <w:pStyle w:val="Compact"/>
              <w:jc w:val="left"/>
            </w:pPr>
            <w:r>
              <w:t xml:space="preserve">info@cdahuizen.nl</w:t>
            </w:r>
          </w:p>
        </w:tc>
        <w:tc>
          <w:tcPr/>
          <w:p>
            <w:pPr>
              <w:pStyle w:val="Compact"/>
              <w:jc w:val="left"/>
            </w:pPr>
            <w:r>
              <w:t xml:space="preserve">uitvoering</w:t>
            </w:r>
            <w:r>
              <w:t xml:space="preserve"> </w:t>
            </w:r>
            <w:r>
              <w:t xml:space="preserve">“</w:t>
            </w:r>
            <w:r>
              <w:t xml:space="preserve">op een menswaardige wijze</w:t>
            </w:r>
            <w:r>
              <w:t xml:space="preserve">”</w:t>
            </w:r>
            <w:r>
              <w:t xml:space="preserve"> </w:t>
            </w:r>
            <w:r>
              <w:t xml:space="preserve">met</w:t>
            </w:r>
            <w:r>
              <w:t xml:space="preserve"> </w:t>
            </w:r>
            <w:r>
              <w:t xml:space="preserve">“</w:t>
            </w:r>
            <w:r>
              <w:t xml:space="preserve">voldoende draagvlak</w:t>
            </w:r>
            <w:r>
              <w:t xml:space="preserve">”</w:t>
            </w:r>
            <w:r>
              <w:t xml:space="preserve"> </w:t>
            </w:r>
            <w:r>
              <w:t xml:space="preserve">(p. 11)</w:t>
            </w:r>
          </w:p>
        </w:tc>
      </w:tr>
      <w:tr>
        <w:tc>
          <w:tcPr/>
          <w:p>
            <w:pPr>
              <w:pStyle w:val="Compact"/>
              <w:jc w:val="left"/>
            </w:pPr>
            <w:r>
              <w:t xml:space="preserve">D66 (3, coalitie)</w:t>
            </w:r>
          </w:p>
        </w:tc>
        <w:tc>
          <w:tcPr/>
          <w:p>
            <w:pPr>
              <w:pStyle w:val="Compact"/>
              <w:jc w:val="left"/>
            </w:pPr>
            <w:r>
              <w:t xml:space="preserve">Sawan Bruins</w:t>
            </w:r>
          </w:p>
        </w:tc>
        <w:tc>
          <w:tcPr/>
          <w:p>
            <w:pPr>
              <w:pStyle w:val="Compact"/>
              <w:jc w:val="left"/>
            </w:pPr>
            <w:r>
              <w:t xml:space="preserve">[privé-adres niet opgenomen; via griffie@huizen.nl]</w:t>
            </w:r>
          </w:p>
        </w:tc>
        <w:tc>
          <w:tcPr/>
          <w:p>
            <w:pPr>
              <w:pStyle w:val="Compact"/>
              <w:jc w:val="left"/>
            </w:pPr>
            <w:r>
              <w:t xml:space="preserve">“</w:t>
            </w:r>
            <w:r>
              <w:t xml:space="preserve">kleinere, verspreide opvanglocaties</w:t>
            </w:r>
            <w:r>
              <w:t xml:space="preserve">”</w:t>
            </w:r>
            <w:r>
              <w:t xml:space="preserve"> </w:t>
            </w:r>
            <w:r>
              <w:t xml:space="preserve">passend bij</w:t>
            </w:r>
            <w:r>
              <w:t xml:space="preserve"> </w:t>
            </w:r>
            <w:r>
              <w:t xml:space="preserve">“</w:t>
            </w:r>
            <w:r>
              <w:t xml:space="preserve">schaal en dynamiek van een wijk</w:t>
            </w:r>
            <w:r>
              <w:t xml:space="preserve">”</w:t>
            </w:r>
            <w:r>
              <w:t xml:space="preserve"> </w:t>
            </w:r>
            <w:r>
              <w:t xml:space="preserve">(p. 14)</w:t>
            </w:r>
          </w:p>
        </w:tc>
      </w:tr>
      <w:tr>
        <w:tc>
          <w:tcPr/>
          <w:p>
            <w:pPr>
              <w:pStyle w:val="Compact"/>
              <w:jc w:val="left"/>
            </w:pPr>
            <w:r>
              <w:t xml:space="preserve">PRO Huizen / PvdA-GroenLinks (4)</w:t>
            </w:r>
          </w:p>
        </w:tc>
        <w:tc>
          <w:tcPr/>
          <w:p>
            <w:pPr>
              <w:pStyle w:val="Compact"/>
              <w:jc w:val="left"/>
            </w:pPr>
            <w:r>
              <w:t xml:space="preserve">Margot Leeuwin</w:t>
            </w:r>
          </w:p>
        </w:tc>
        <w:tc>
          <w:tcPr/>
          <w:p>
            <w:pPr>
              <w:pStyle w:val="Compact"/>
              <w:jc w:val="left"/>
            </w:pPr>
            <w:r>
              <w:t xml:space="preserve">m.leeuwin@gemeenteraadhuizen.nl</w:t>
            </w:r>
          </w:p>
        </w:tc>
        <w:tc>
          <w:tcPr/>
          <w:p>
            <w:pPr>
              <w:pStyle w:val="Compact"/>
              <w:jc w:val="left"/>
            </w:pPr>
            <w:r>
              <w:t xml:space="preserve">“</w:t>
            </w:r>
            <w:r>
              <w:t xml:space="preserve">het aantal opvangplekken dat is afgesproken … landelijk en met de andere gemeenten in de regio</w:t>
            </w:r>
            <w:r>
              <w:t xml:space="preserve">”</w:t>
            </w:r>
            <w:r>
              <w:t xml:space="preserve"> </w:t>
            </w:r>
            <w:r>
              <w:t xml:space="preserve">(§1.9), geen kleinschaligheidsnorm; mede-indiener amendement A3; stelde in feb 2025 de vragen waaruit de cijfers per locatie komen</w:t>
            </w:r>
          </w:p>
        </w:tc>
      </w:tr>
      <w:tr>
        <w:tc>
          <w:tcPr/>
          <w:p>
            <w:pPr>
              <w:pStyle w:val="Compact"/>
              <w:jc w:val="left"/>
            </w:pPr>
            <w:r>
              <w:t xml:space="preserve">Forum voor Democratie (3)</w:t>
            </w:r>
          </w:p>
        </w:tc>
        <w:tc>
          <w:tcPr/>
          <w:p>
            <w:pPr>
              <w:pStyle w:val="Compact"/>
              <w:jc w:val="left"/>
            </w:pPr>
            <w:r>
              <w:t xml:space="preserve">Edward Kleinjan (raadsleden Vlad Sadykov, Yvonne Vos)</w:t>
            </w:r>
          </w:p>
        </w:tc>
        <w:tc>
          <w:tcPr/>
          <w:p>
            <w:pPr>
              <w:pStyle w:val="Compact"/>
              <w:jc w:val="left"/>
            </w:pPr>
            <w:r>
              <w:t xml:space="preserve">huizen@fvd.nl</w:t>
            </w:r>
          </w:p>
        </w:tc>
        <w:tc>
          <w:tcPr/>
          <w:p>
            <w:pPr>
              <w:pStyle w:val="Compact"/>
              <w:jc w:val="left"/>
            </w:pPr>
            <w:r>
              <w:t xml:space="preserve">“</w:t>
            </w:r>
            <w:r>
              <w:t xml:space="preserve">Geen nieuwe AZC’s of (nood)opvangcentra … Geen opvanglocaties in Huizen</w:t>
            </w:r>
            <w:r>
              <w:t xml:space="preserve">”</w:t>
            </w:r>
            <w:r>
              <w:t xml:space="preserve"> </w:t>
            </w:r>
            <w:r>
              <w:t xml:space="preserve">(§3, p. 10-11)</w:t>
            </w:r>
          </w:p>
        </w:tc>
      </w:tr>
      <w:tr>
        <w:tc>
          <w:tcPr/>
          <w:p>
            <w:pPr>
              <w:pStyle w:val="Compact"/>
              <w:jc w:val="left"/>
            </w:pPr>
            <w:r>
              <w:t xml:space="preserve">PIT Huizen (2)</w:t>
            </w:r>
          </w:p>
        </w:tc>
        <w:tc>
          <w:tcPr/>
          <w:p>
            <w:pPr>
              <w:pStyle w:val="Compact"/>
              <w:jc w:val="left"/>
            </w:pPr>
            <w:r>
              <w:t xml:space="preserve">Ria van Kempen</w:t>
            </w:r>
          </w:p>
        </w:tc>
        <w:tc>
          <w:tcPr/>
          <w:p>
            <w:pPr>
              <w:pStyle w:val="Compact"/>
              <w:jc w:val="left"/>
            </w:pPr>
            <w:r>
              <w:t xml:space="preserve">info@pithuizen.nl</w:t>
            </w:r>
          </w:p>
        </w:tc>
        <w:tc>
          <w:tcPr/>
          <w:p>
            <w:pPr>
              <w:pStyle w:val="Compact"/>
              <w:jc w:val="left"/>
            </w:pPr>
            <w:r>
              <w:t xml:space="preserve">“</w:t>
            </w:r>
            <w:r>
              <w:t xml:space="preserve">PIT Huizen kiest voor kleinschalige locaties</w:t>
            </w:r>
            <w:r>
              <w:t xml:space="preserve">”</w:t>
            </w:r>
            <w:r>
              <w:t xml:space="preserve"> </w:t>
            </w:r>
            <w:r>
              <w:t xml:space="preserve">(p. 14)</w:t>
            </w:r>
          </w:p>
        </w:tc>
      </w:tr>
      <w:tr>
        <w:tc>
          <w:tcPr/>
          <w:p>
            <w:pPr>
              <w:pStyle w:val="Compact"/>
              <w:jc w:val="left"/>
            </w:pPr>
            <w:r>
              <w:t xml:space="preserve">Gemeente Belangen Huizen (1)</w:t>
            </w:r>
          </w:p>
        </w:tc>
        <w:tc>
          <w:tcPr/>
          <w:p>
            <w:pPr>
              <w:pStyle w:val="Compact"/>
              <w:jc w:val="left"/>
            </w:pPr>
            <w:r>
              <w:t xml:space="preserve">Bonnie Okkema</w:t>
            </w:r>
          </w:p>
        </w:tc>
        <w:tc>
          <w:tcPr/>
          <w:p>
            <w:pPr>
              <w:pStyle w:val="Compact"/>
              <w:jc w:val="left"/>
            </w:pPr>
            <w:r>
              <w:t xml:space="preserve">(alleen griffie@huizen.nl in RIS)</w:t>
            </w:r>
          </w:p>
        </w:tc>
        <w:tc>
          <w:tcPr/>
          <w:p>
            <w:pPr>
              <w:pStyle w:val="Compact"/>
              <w:jc w:val="left"/>
            </w:pPr>
            <w:r>
              <w:t xml:space="preserve">“</w:t>
            </w:r>
            <w:r>
              <w:t xml:space="preserve">Afspraak is afspraak. Geen asielboot meer … Asielopvang is een verantwoordelijkheid van de rijksoverheid</w:t>
            </w:r>
            <w:r>
              <w:t xml:space="preserve">”</w:t>
            </w:r>
            <w:r>
              <w:t xml:space="preserve"> </w:t>
            </w:r>
            <w:r>
              <w:t xml:space="preserve">(§5)</w:t>
            </w:r>
          </w:p>
        </w:tc>
      </w:tr>
      <w:tr>
        <w:tc>
          <w:tcPr/>
          <w:p>
            <w:pPr>
              <w:pStyle w:val="Compact"/>
              <w:jc w:val="left"/>
            </w:pPr>
            <w:r>
              <w:t xml:space="preserve">ChristenUnie (1)</w:t>
            </w:r>
          </w:p>
        </w:tc>
        <w:tc>
          <w:tcPr/>
          <w:p>
            <w:pPr>
              <w:pStyle w:val="Compact"/>
              <w:jc w:val="left"/>
            </w:pPr>
            <w:r>
              <w:t xml:space="preserve">Marijke Terlouw (indiener motie M1 erfgoed)</w:t>
            </w:r>
          </w:p>
        </w:tc>
        <w:tc>
          <w:tcPr/>
          <w:p>
            <w:pPr>
              <w:pStyle w:val="Compact"/>
              <w:jc w:val="left"/>
            </w:pPr>
            <w:r>
              <w:t xml:space="preserve">[privé-adres niet opgenomen; via griffie@huizen.nl]</w:t>
            </w:r>
          </w:p>
        </w:tc>
        <w:tc>
          <w:tcPr/>
          <w:p>
            <w:pPr>
              <w:pStyle w:val="Compact"/>
              <w:jc w:val="left"/>
            </w:pPr>
            <w:r>
              <w:t xml:space="preserve">“</w:t>
            </w:r>
            <w:r>
              <w:t xml:space="preserve">gespreide, kleinschalige opvang</w:t>
            </w:r>
            <w:r>
              <w:t xml:space="preserve">”</w:t>
            </w:r>
            <w:r>
              <w:t xml:space="preserve"> </w:t>
            </w:r>
            <w:r>
              <w:t xml:space="preserve">(p. 6); vroeg 3-6-2026 om definities van draagvlak/kleinschaligheid</w:t>
            </w:r>
          </w:p>
        </w:tc>
      </w:tr>
      <w:tr>
        <w:tc>
          <w:tcPr/>
          <w:p>
            <w:pPr>
              <w:pStyle w:val="Compact"/>
              <w:jc w:val="left"/>
            </w:pPr>
            <w:r>
              <w:t xml:space="preserve">Transparant Huizen (1)</w:t>
            </w:r>
          </w:p>
        </w:tc>
        <w:tc>
          <w:tcPr/>
          <w:p>
            <w:pPr>
              <w:pStyle w:val="Compact"/>
              <w:jc w:val="left"/>
            </w:pPr>
            <w:r>
              <w:t xml:space="preserve">Bert Schaap</w:t>
            </w:r>
          </w:p>
        </w:tc>
        <w:tc>
          <w:tcPr/>
          <w:p>
            <w:pPr>
              <w:pStyle w:val="Compact"/>
              <w:jc w:val="left"/>
            </w:pPr>
            <w:r>
              <w:t xml:space="preserve">[privé-adres niet opgenomen; via griffie@huizen.nl]</w:t>
            </w:r>
          </w:p>
        </w:tc>
        <w:tc>
          <w:tcPr/>
          <w:p>
            <w:pPr>
              <w:pStyle w:val="Compact"/>
              <w:jc w:val="left"/>
            </w:pPr>
            <w:r>
              <w:t xml:space="preserve">geen programmatekst gevonden; stemde 3-6 vóór FvD-amendementen A4/A5</w:t>
            </w:r>
          </w:p>
        </w:tc>
      </w:tr>
      <w:tr>
        <w:tc>
          <w:tcPr/>
          <w:p>
            <w:pPr>
              <w:pStyle w:val="Compact"/>
              <w:jc w:val="left"/>
            </w:pPr>
            <w:r>
              <w:t xml:space="preserve">SGP (1)</w:t>
            </w:r>
          </w:p>
        </w:tc>
        <w:tc>
          <w:tcPr/>
          <w:p>
            <w:pPr>
              <w:pStyle w:val="Compact"/>
              <w:jc w:val="left"/>
            </w:pPr>
            <w:r>
              <w:t xml:space="preserve">Rob Bource (tevens 2e vicevoorzitter raad)</w:t>
            </w:r>
          </w:p>
        </w:tc>
        <w:tc>
          <w:tcPr/>
          <w:p>
            <w:pPr>
              <w:pStyle w:val="Compact"/>
              <w:jc w:val="left"/>
            </w:pPr>
            <w:r>
              <w:t xml:space="preserve">secretariaat@sgphuizen.nl</w:t>
            </w:r>
          </w:p>
        </w:tc>
        <w:tc>
          <w:tcPr/>
          <w:p>
            <w:pPr>
              <w:pStyle w:val="Compact"/>
              <w:jc w:val="left"/>
            </w:pPr>
            <w:r>
              <w:t xml:space="preserve">“</w:t>
            </w:r>
            <w:r>
              <w:t xml:space="preserve">draagvlak, draagkracht en kleinschaligheid [zijn] onvoorwaardelijke eisen</w:t>
            </w:r>
            <w:r>
              <w:t xml:space="preserve">”</w:t>
            </w:r>
            <w:r>
              <w:t xml:space="preserve">;</w:t>
            </w:r>
            <w:r>
              <w:t xml:space="preserve"> </w:t>
            </w:r>
            <w:r>
              <w:t xml:space="preserve">“</w:t>
            </w:r>
            <w:r>
              <w:t xml:space="preserve">niet alleen … hoe … maar ook óf</w:t>
            </w:r>
            <w:r>
              <w:t xml:space="preserve">”</w:t>
            </w:r>
            <w:r>
              <w:t xml:space="preserve"> </w:t>
            </w:r>
            <w:r>
              <w:t xml:space="preserve">(p. 33)</w:t>
            </w:r>
          </w:p>
        </w:tc>
      </w:tr>
    </w:tbl>
    <w:p>
      <w:pPr>
        <w:pStyle w:val="BodyText"/>
      </w:pPr>
      <w:r>
        <w:t>Griffie: de raadsgriffier, griffie@huizen.nl, (035) 528 1911 / spreekrecht (035) 528 1350. Zetelaantallen, coalitie en fractievoorzitters kunnen veranderen; een partijstandpunt uit een verkiezingsprogramma is geen bindende toezegging over Visio. Citeer letterlijk, met bron en paginanummer.</w:t>
      </w:r>
    </w:p>
    <w:bookmarkEnd w:id="20"/>
    <w:bookmarkStart w:id="21" w:name="brieftekst"/>
    <w:p>
      <w:pPr>
        <w:pStyle w:val="Heading2"/>
      </w:pPr>
      <w:r>
        <w:t xml:space="preserve">Brieftekst</w:t>
      </w:r>
    </w:p>
    <w:p>
      <w:pPr>
        <w:pStyle w:val="FirstParagraph"/>
      </w:pPr>
      <w:r>
        <w:t xml:space="preserve">Aan: de fractievoorzitters van VVD, Leefbaar Huizen, CDA, D66, PRO Huizen, Forum voor Democratie, PIT Huizen, Gemeente Belangen Huizen, ChristenUnie, Transparant Huizen en SGP</w:t>
      </w:r>
      <w:r>
        <w:br/>
      </w:r>
      <w:r>
        <w:t xml:space="preserve">Cc: griffie@huizen.nl (verzoek om registratie als ingekomen stuk voor de raad van 5 november 2026)</w:t>
      </w:r>
      <w:r>
        <w:br/>
      </w:r>
      <w:r>
        <w:t xml:space="preserve">Betreft: raadsvoorstel Beleidskader opvang vluchtelingen en locatiekeuze (Z.478312), Visio-locatie, Amersfoortsestraatweg 180</w:t>
      </w:r>
      <w:r>
        <w:br/>
      </w:r>
      <w:r>
        <w:t xml:space="preserve">Datum: [..] oktober 2026</w:t>
      </w:r>
    </w:p>
    <w:p>
      <w:pPr>
        <w:pStyle w:val="BodyText"/>
      </w:pPr>
      <w:r>
        <w:t xml:space="preserve">Geachte fractievoorzitter,</w:t>
      </w:r>
    </w:p>
    <w:p>
      <w:pPr>
        <w:pStyle w:val="BodyText"/>
      </w:pPr>
      <w:r>
        <w:t>Ik woon in Crailo en wil graag enkele vragen stellen over de mogelijke opvanglocatie bij Visio. [Alleen als je dat zelf hebt afgestemd: Deze brief is mede namens anderen opgesteld.] Op 20 oktober behandelt de commissie Sociaal Domein het voorstel om vijf locaties als</w:t>
      </w:r>
      <w:r>
        <w:t xml:space="preserve"> </w:t>
      </w:r>
      <w:r>
        <w:t xml:space="preserve">“</w:t>
      </w:r>
      <w:r>
        <w:t xml:space="preserve">kansrijk</w:t>
      </w:r>
      <w:r>
        <w:t xml:space="preserve">”</w:t>
      </w:r>
      <w:r>
        <w:t xml:space="preserve"> </w:t>
      </w:r>
      <w:r>
        <w:t>voor vluchtelingenopvang aan te wijzen. Eén daarvan ligt in mijn buurt: het achterterrein van de Visio-locatie. In de rapportage is dit de enige locatie met een capaciteit van</w:t>
      </w:r>
      <w:r>
        <w:t xml:space="preserve"> </w:t>
      </w:r>
      <w:r>
        <w:t xml:space="preserve">“</w:t>
      </w:r>
      <w:r>
        <w:t xml:space="preserve">meer dan 200 bedden</w:t>
      </w:r>
      <w:r>
        <w:t xml:space="preserve">”</w:t>
      </w:r>
      <w:r>
        <w:t xml:space="preserve">, bij een opgave van circa 216 de enige die de hele opgave alleen kan dragen.</w:t>
      </w:r>
    </w:p>
    <w:p>
      <w:pPr>
        <w:pStyle w:val="BodyText"/>
      </w:pPr>
      <w:r>
        <w:t>Ik schrijf u omdat het beleidskader dat u op 5 november vaststelt, zélf de norm bevat waaraan deze keuze te toetsen is. Bijlage 1 zegt (p. 6):</w:t>
      </w:r>
      <w:r>
        <w:t xml:space="preserve"> </w:t>
      </w:r>
      <w:r>
        <w:rPr>
          <w:iCs/>
          <w:i/>
        </w:rPr>
        <w:t xml:space="preserve">“</w:t>
      </w:r>
      <w:r>
        <w:rPr>
          <w:iCs/>
          <w:i/>
        </w:rPr>
        <w:t xml:space="preserve">Waar mogelijk streven we naar een evenwichtige spreiding over de gemeente (zowel qua aantallen als over wijken), om te voorkomen dat de verantwoordelijkheid onevenredig op één plek terechtkomt</w:t>
      </w:r>
      <w:r>
        <w:rPr>
          <w:iCs/>
          <w:i/>
        </w:rPr>
        <w:t xml:space="preserve">”</w:t>
      </w:r>
      <w:r>
        <w:t xml:space="preserve">, en (p. 7):</w:t>
      </w:r>
      <w:r>
        <w:t xml:space="preserve"> </w:t>
      </w:r>
      <w:r>
        <w:rPr>
          <w:iCs/>
          <w:i/>
        </w:rPr>
        <w:t xml:space="preserve">“</w:t>
      </w:r>
      <w:r>
        <w:rPr>
          <w:iCs/>
          <w:i/>
        </w:rPr>
        <w:t xml:space="preserve">Veiligheid en leefbaarheid zijn harde randvoorwaarden voor iedere opvanglocatie.</w:t>
      </w:r>
      <w:r>
        <w:rPr>
          <w:iCs/>
          <w:i/>
        </w:rPr>
        <w:t xml:space="preserve">”</w:t>
      </w:r>
      <w:r>
        <w:t xml:space="preserve"> </w:t>
      </w:r>
      <w:r>
        <w:t>In het verkiezingsprogramma van uw fractie staat: [citaat uit de tabel hierboven, letterlijk, met paginanummer en bron]. Daarom stel ik u één vraag, en ik zou het op prijs stellen als u die vóór 5 november beantwoordt:</w:t>
      </w:r>
      <w:r>
        <w:t xml:space="preserve"> </w:t>
      </w:r>
      <w:r>
        <w:rPr>
          <w:bCs/>
          <w:b/>
        </w:rPr>
        <w:t xml:space="preserve">geldt deze norm, uw eigen norm en die van het beleidskader, ook voor de Visio-locatie?</w:t>
      </w:r>
    </w:p>
    <w:p>
      <w:pPr>
        <w:pStyle w:val="BodyText"/>
      </w:pPr>
      <w:r>
        <w:t>Ter toelichting zeven feiten, alle uit openbare stukken (bronnen in de bijlage): 1. Spreiding en cumulatie. Visio ligt op 1,8 km van Tergooi (Blaricum; tot 250 statushouders tot 1-8-2027, telt mee voor Blaricum én Laren) en op 3,8 km van de door Hilversum geplande vaste COA-locatie Naarderweg (120 plaatsen, 30 jaar, vanaf 2028). Een cumulatieafweging ontbreekt in de rapportage; het beleidskader vraagt er wel om (“draagkracht en kenmerken van de omgeving”). 2. Planologie. Volgens onze kaartberekening, op basis van kaartlagen van 1 juli 2026, ligt 38.600 m² van het Visio-perceel buiten het bouwvlak; 93 % daarvan ligt in provinciaal Beschermd landschap “Het Gooi”. Nieuwe bebouwing is daar volgens het bestemmingsplan (art. 8.2) en de provinciale Omgevingsverordening (art. 6.59a, directe werking) niet toegestaan; de provincie schreef dat opvang in Beschermd landschap “niet toegestaan” is en dat tijdelijkheid “planologisch niet iets anders” is. Een ontheffing van Gedeputeerde Staten vergt dat er “geen reële alternatieven” zijn, terwijl het college zelf vier andere kansrijke locaties voorstelt. 3. Erfgoed. De raad nam op 23 september unaniem motie M1 aan: eerst deskundig erfgoedonderzoek naar het blindeninstituut, met voorbescherming, uitkomst uiterlijk 3 februari 2027. Het aanwijzen van dezelfde locatie op 5 november loopt daarop vooruit. 4. Het getal. Het raadsvoorstel noemt 216 plaatsen “wettelijke taakstelling”. Het bindende verdeelbesluit (december 2024) geeft Huizen 200 plaatsen zonder minderjarigen; 216 plaatsen in totaal, waarvan 14 voor alleenstaande minderjarigen, is de indicatieve verdeling voor de volgende cyclus, die pas met het verdeelbesluit van eind 2026 bindend wordt. De Spreidingswet wijst bovendien plekken aan, geen locaties: het provinciaal verslag vraagt “om hoeveel plekken en om welk soort plekken”, geen adressen (Vragen en antwoorden Spreidingswet, p. 3 en 12). 5. Gelijke behandeling van wijken. Op 10 juli 2025 verbond de raad aan de laatste winter opvangschepen de voorwaarde: “geen enkele vorm van opvang van asielzoekers meer … in de werkhaven of elders in deze wijk, noch tijdelijk noch structureel”; de havenwijk kreeg een trajectplan, een adviesgroep, wijkverbinders en beveiliging (ca. € 100.000 per zes maanden uit de reserve ontheemden). In de rapportage van oktober 2026 zijn 54 inwonersuggesties voor schepen en 4 voor de havenkade op dat raadsbesluit afgewezen. Crailo krijgt nu een informatiebrief binnen 250 meter, de participatievorm “raadplegen” en een locatie van meer dan 200 plaatsen voor ten minste vijf jaar. 6. Tijdelijk kan structureel worden. Bij verschillende tijdelijke opvanglocaties in de regio is de looptijd verlengd: Gooiland Hilversum (overeenkomst “maximaal vier jaar”, verlengd tot 2028), Thebe (+5 jaar, juli 2026), Anton Philipsweg, Tergooi, De Woensberg, Rading 1 Loosdrecht. De Omgevingswet kent geen maximumtermijn voor tijdelijke vergunningen (art. 5.36); de einddatum van de Witte Toren in Naarden is een bestuurlijke toezegging, geen wettelijke grens. Daarom lijkt het belangrijk vooraf vast te leggen wat de duur is, hoe een eventuele verlenging wordt beoordeeld en welk maximum geldt. 7. De regionale route is nog open tot 1 december. Het provinciaal verslag van de commissaris van de Koning moet in deze cyclus vóór 1 december 2026 bij de minister zijn; uitruilafspraken die daarin staan “worden overgenomen bij het nemen van het verdeelbesluit” (Q&amp;A 6.1, p. 5 en 11). Huizen vangt 286 Oekraïners op (Hotel Newport 204, Ellertsveld 60, pastorie 7; Visio 15 tot september 2025) en huisvestte in 2024 82 statushouders, opgaven die de wet uitdrukkelijk uitruilbaar maakt tegen asielplaatsen elders (“Gemeente A verzorgt … de opvang van statushouders voor gemeente B, terwijl gemeente B de opvang van asielzoekers voor beide gemeenten realiseert”). Of dit aan de regionale regietafel is ingebracht, blijkt niet uit de stukken.</w:t>
      </w:r>
      <w:r/>
      <w:r/>
      <w:r/>
      <w:r>
        <w:rPr>
          <w:bCs/>
          <w:b/>
        </w:rPr>
      </w:r>
      <w:r/>
      <w:r/>
      <w:r/>
      <w:r/>
      <w:r/>
      <w:r/>
      <w:r/>
      <w:r/>
      <w:r/>
      <w:r>
        <w:rPr>
          <w:bCs/>
          <w:b/>
        </w:rPr>
      </w:r>
      <w:r/>
      <w:r/>
      <w:r/>
      <w:r/>
      <w:r/>
      <w:r/>
      <w:r/>
      <w:r/>
      <w:r/>
      <w:r/>
      <w:r/>
      <w:r/>
      <w:r/>
      <w:r/>
      <w:r/>
      <w:r/>
      <w:r/>
      <w:r/>
      <w:r/>
      <w:r/>
      <w:r/>
      <w:r/>
      <w:r/>
      <w:r/>
      <w:r/>
      <w:r/>
      <w:r/>
      <w:r/>
      <w:r>
        <w:rPr>
          <w:bCs/>
          <w:b/>
        </w:rPr>
      </w:r>
      <w:r/>
      <w:r/>
      <w:r/>
      <w:r/>
      <w:r/>
      <w:r>
        <w:rPr>
          <w:bCs/>
          <w:b/>
        </w:rPr>
      </w:r>
      <w:r/>
      <w:r/>
      <w:r/>
      <w:r/>
      <w:r/>
      <w:r/>
      <w:r/>
      <w:r/>
      <w:r/>
      <w:r/>
      <w:r/>
      <w:r/>
      <w:r/>
      <w:r/>
      <w:r/>
      <w:r>
        <w:rPr>
          <w:bCs/>
          <w:b/>
        </w:rPr>
      </w:r>
      <w:r/>
      <w:r/>
      <w:r/>
      <w:r>
        <w:rPr>
          <w:iCs/>
          <w:i/>
        </w:rPr>
      </w:r>
      <w:r>
        <w:rPr>
          <w:iCs/>
          <w:i/>
        </w:rPr>
      </w:r>
      <w:r>
        <w:rPr>
          <w:iCs/>
          <w:i/>
        </w:rPr>
      </w:r>
      <w:r/>
      <w:r/>
      <w:r/>
      <w:r/>
      <w:r/>
      <w:r/>
      <w:r/>
      <w:r/>
      <w:r/>
      <w:r/>
      <w:r>
        <w:rPr>
          <w:bCs/>
          <w:b/>
        </w:rPr>
      </w:r>
      <w:r/>
      <w:r/>
      <w:r/>
      <w:r/>
      <w:r/>
      <w:r/>
      <w:r/>
      <w:r/>
      <w:r/>
      <w:r/>
      <w:r/>
      <w:r/>
      <w:r/>
      <w:r/>
      <w:r/>
      <w:r/>
      <w:r/>
      <w:r/>
      <w:r/>
      <w:r/>
      <w:r/>
      <w:r/>
      <w:r>
        <w:rPr>
          <w:bCs/>
          <w:b/>
        </w:rPr>
      </w:r>
      <w:r/>
      <w:r/>
      <w:r/>
      <w:r/>
      <w:r/>
      <w:r/>
      <w:r/>
      <w:r/>
      <w:r/>
      <w:r/>
      <w:r/>
      <w:r/>
    </w:p>
    <w:p>
      <w:pPr>
        <w:pStyle w:val="BodyText"/>
      </w:pPr>
      <w:r>
        <w:t>Ik vraag u daarom [kies]:</w:t>
      </w:r>
      <w:r>
        <w:t xml:space="preserve"> </w:t>
      </w:r>
      <w:r>
        <w:rPr>
          <w:bCs/>
          <w:b/>
        </w:rPr>
        <w:t xml:space="preserve">Variant A</w:t>
      </w:r>
      <w:r>
        <w:t xml:space="preserve">, een amendement op het raadsbesluit van 5 november in te dienen of te steunen waarmee de Visio-locatie uit de lijst van kansrijke locaties wordt geschrapt; of</w:t>
      </w:r>
      <w:r>
        <w:t xml:space="preserve"> </w:t>
      </w:r>
      <w:r>
        <w:rPr>
          <w:bCs/>
          <w:b/>
        </w:rPr>
        <w:t xml:space="preserve">Variant B</w:t>
      </w:r>
      <w:r>
        <w:t xml:space="preserve">, een amendement waarmee aan de aanwijzing van de Visio-locatie de volgende randvoorwaarden worden verbonden:</w:t>
      </w:r>
      <w:r>
        <w:t xml:space="preserve"> </w:t>
      </w:r>
      <w:r>
        <w:t xml:space="preserve">(R1) uitsluitend in bestaande gebouwen binnen het bouwvlak, geen opvang, units of parkeren buiten het bouwvlak of in Beschermd landschap;</w:t>
      </w:r>
      <w:r>
        <w:t xml:space="preserve"> </w:t>
      </w:r>
      <w:r>
        <w:t xml:space="preserve">(R2) een maximum van [10/50/≤ 100] opvangplaatsen per locatie en een cumulatietoets met Tergooi en Naarderweg, conform de spreidingsnorm van het beleidskader (p. 6);</w:t>
      </w:r>
      <w:r>
        <w:t xml:space="preserve"> </w:t>
      </w:r>
      <w:r>
        <w:t xml:space="preserve">(R3) doelgroep, aantal en duur als voorschrift in de omgevingsvergunning en de bestuursovereenkomst; geen doelgroepwijziging zonder nieuw raadsbesluit en nieuwe participatie;</w:t>
      </w:r>
      <w:r>
        <w:t xml:space="preserve"> </w:t>
      </w:r>
      <w:r>
        <w:t>(R4) een vaste einddatum en duidelijkheid over eventuele verlenging; verlenging uitsluitend bij nieuw raadsbesluit (zoals de raad op 10-7-2025 voor de havenwijk besloot);</w:t>
      </w:r>
      <w:r>
        <w:t xml:space="preserve"> </w:t>
      </w:r>
      <w:r>
        <w:t>(R5) een leefbaarheids- en veiligheidsplan vóór de aanwijzing, met risicoanalyse, beheerplan, een goed bereikbaar meldpunt, wijkverbinders en toezicht in de openbare ruimte, en met een vooraf vastgelegde dekking, bijvoorbeeld uit de reserve ontheemden en de Rijksuitkeringen (Werkhaven-model; bestuursovereenkomst Lochem-COA 2025);</w:t>
      </w:r>
      <w:r>
        <w:t xml:space="preserve"> </w:t>
      </w:r>
      <w:r>
        <w:t xml:space="preserve">(R6) een beheergroep met omwonenden (niveau adviseren, onafhankelijk voorzitter), een onafhankelijke leefbaarheidsmonitor en een jaarlijks heroverwegingsmoment;</w:t>
      </w:r>
      <w:r>
        <w:t xml:space="preserve"> </w:t>
      </w:r>
      <w:r>
        <w:t xml:space="preserve">(R7) geen aanwijzing zolang het erfgoedonderzoek uit motie M1 niet is afgerond en de voorbescherming niet is vastgelegd;</w:t>
      </w:r>
      <w:r>
        <w:t xml:space="preserve"> </w:t>
      </w:r>
      <w:r>
        <w:t xml:space="preserve">(R8) een regionale uitruil- en overbruggingsverkenning aan de regietafel vóór 1 december 2026, met verslag aan de raad vóór 5 november;</w:t>
      </w:r>
      <w:r>
        <w:t xml:space="preserve"> </w:t>
      </w:r>
      <w:r>
        <w:t xml:space="preserve">(R9) participatie conform amendement A3 (meetbare acceptatie) met een informatiegebied dat de hele buurt Crailo dekt, en opname van opvanglocaties in het aanwijzingsbesluit bindend adviesrecht van de raad (art. 16.15a Omgevingswet), zoals in Uitgeest.</w:t>
      </w:r>
    </w:p>
    <w:p>
      <w:pPr>
        <w:pStyle w:val="BodyText"/>
      </w:pPr>
      <w:r>
        <w:t>[Beschrijf hier in je eigen woorden hoe je tegenover de opvangopgave en deze locatie staat.] Ik vraag u dat de keuze van 5 november spoort met het beleidskader dat u diezelfde avond vaststelt en met uw eigen verkiezingsprogramma. Graag ga ik met u in gesprek; ik ben bereikbaar via [naam, e-mail, telefoon].</w:t>
      </w:r>
    </w:p>
    <w:p>
      <w:pPr>
        <w:pStyle w:val="BodyText"/>
      </w:pPr>
      <w:r>
        <w:t xml:space="preserve">Met vriendelijke groet,</w:t>
      </w:r>
      <w:r>
        <w:t xml:space="preserve"> </w:t>
      </w:r>
      <w:r>
        <w:t>[naam, adres]</w:t>
      </w:r>
    </w:p>
    <w:p>
      <w:pPr>
        <w:pStyle w:val="BodyText"/>
      </w:pPr>
      <w:r>
        <w:t>Bijlage: feitenoverzicht met bronnen (Beleidskader Bijlage 1 p. 6-7; overlaykaart bouwvlak × Beschermd landschap; OV NH2022 art. 6.59a/6.11/12.7; provinciale memo 2021; GS-besluit Uitgeest 3-7-2025; motie M1 23-9-2026; Verdeelbesluit NH 20-12-2024; Staatscourant 2026-9053; Vragen en antwoorden Spreidingswet (september 2026); raadsbesluit 10-7-2025 + Trajectplan Werkhaven; Rapportage kansrijke locaties okt 2026 (longlist schepen/kade); Gemeentebladen Hilversum/Blaricum/Wijdemeren (verlengingen); RIS beantwoording commissievragen 27-2-2025 (cijfers per locatie); Bestuursovereenkomst Lochem-COA 2-9-2025; amendement A3 3-6-2026; overzicht van opvanglocaties in de regio met afstanden).</w:t>
      </w:r>
    </w:p>
    <w:p>
      <w:r>
        <w:pict>
          <v:rect style="width:0;height:1.5pt" o:hralign="center" o:hrstd="t" o:hr="t"/>
        </w:pict>
      </w:r>
    </w:p>
    <w:bookmarkEnd w:id="21"/>
    <w:bookmarkStart w:id="50" w:name="Xde322b4071a84bb3474e758eec05f12362d157c"/>
    <w:p>
      <w:pPr>
        <w:pStyle w:val="Heading2"/>
      </w:pPr>
      <w:r>
        <w:t xml:space="preserve">Voetnoten: de regels en stukken die in deze tekst worden genoemd</w:t>
      </w:r>
    </w:p>
    <w:p>
      <w:pPr>
        <w:pStyle w:val="FirstParagraph"/>
      </w:pPr>
      <w:r>
        <w:rPr>
          <w:iCs/>
          <w:i/>
        </w:rPr>
        <w:t>Elke voetnoot legt in het kort uit wat de genoemde regel of het genoemde stuk inhoudt en verwijst naar het document op crailo.info, zodat je het zelf kunt nalezen, printen of meesturen. Dit zijn mogelijke invalshoeken op basis van de onderzochte stukken; eigen vragen en argumenten zijn altijd welkom.</w:t>
      </w:r>
    </w:p>
    <w:p>
      <w:pPr>
        <w:numPr>
          <w:ilvl w:val="0"/>
          <w:numId w:val="1001"/>
        </w:numPr>
        <w:pStyle w:val="Compact"/>
      </w:pPr>
      <w:r>
        <w:rPr>
          <w:bCs/>
          <w:b/>
        </w:rPr>
        <w:t xml:space="preserve">Het beleidskader opvang vluchtelingen (bijlage 1 bij het raadsvoorstel).</w:t>
      </w:r>
      <w:r>
        <w:t xml:space="preserve"> </w:t>
      </w:r>
      <w:r>
        <w:t xml:space="preserve">Het beleidskader dat de raad op 5 november 2026 vaststelt, noemt als uitgangspunten onder meer geen grootschalige opvanglocaties, voldoende draagvlak in de directe omgeving, een goede balans tussen voorzieningen en leefbaarheid in wijken en</w:t>
      </w:r>
      <w:r>
        <w:t xml:space="preserve"> </w:t>
      </w:r>
      <w:r>
        <w:t xml:space="preserve">‘</w:t>
      </w:r>
      <w:r>
        <w:t xml:space="preserve">evenwichtige spreiding</w:t>
      </w:r>
      <w:r>
        <w:t xml:space="preserve">’</w:t>
      </w:r>
      <w:r>
        <w:t xml:space="preserve"> </w:t>
      </w:r>
      <w:r>
        <w:t xml:space="preserve">zonder onevenredige belasting van één plek. De Visio-locatie is de enige locatie op de lijst met meer dan 200 plekken. Bron:</w:t>
      </w:r>
      <w:r>
        <w:t xml:space="preserve"> </w:t>
      </w:r>
      <w:hyperlink r:id="rId22">
        <w:r>
          <w:rPr>
            <w:rStyle w:val="Hyperlink"/>
          </w:rPr>
          <w:t xml:space="preserve">R0278</w:t>
        </w:r>
      </w:hyperlink>
      <w:r>
        <w:t xml:space="preserve">,</w:t>
      </w:r>
      <w:r>
        <w:t xml:space="preserve"> </w:t>
      </w:r>
      <w:hyperlink r:id="rId23">
        <w:r>
          <w:rPr>
            <w:rStyle w:val="Hyperlink"/>
          </w:rPr>
          <w:t xml:space="preserve">R0287</w:t>
        </w:r>
      </w:hyperlink>
      <w:r>
        <w:t xml:space="preserve">,</w:t>
      </w:r>
      <w:r>
        <w:t xml:space="preserve"> </w:t>
      </w:r>
      <w:hyperlink r:id="rId24">
        <w:r>
          <w:rPr>
            <w:rStyle w:val="Hyperlink"/>
          </w:rPr>
          <w:t xml:space="preserve">R0279</w:t>
        </w:r>
      </w:hyperlink>
      <w:r>
        <w:t xml:space="preserve">.</w:t>
      </w:r>
    </w:p>
    <w:p>
      <w:pPr>
        <w:numPr>
          <w:ilvl w:val="0"/>
          <w:numId w:val="1001"/>
        </w:numPr>
        <w:pStyle w:val="Compact"/>
      </w:pPr>
      <w:r>
        <w:rPr>
          <w:bCs/>
          <w:b/>
        </w:rPr>
        <w:t xml:space="preserve">Amendement A3 (raad 3 juni 2026).</w:t>
      </w:r>
      <w:r>
        <w:t xml:space="preserve"> </w:t>
      </w:r>
      <w:r>
        <w:t xml:space="preserve">Met amendement A3, aangenomen met 24 stemmen voor en 1 tegen, legde de raad vast dat (direct) omwonenden van kansrijke locaties actief worden betrokken in een intensief participatietraject onder begeleiding van een extern onafhankelijk bureau, en dat de uitkomst wordt vastgelegd in een participatieverslag met een meetbare beschrijving van de verkregen acceptatie en concrete afspraken over veiligheid, communicatie, toezicht en evaluatie. Bron:</w:t>
      </w:r>
      <w:r>
        <w:t xml:space="preserve"> </w:t>
      </w:r>
      <w:hyperlink r:id="rId25">
        <w:r>
          <w:rPr>
            <w:rStyle w:val="Hyperlink"/>
          </w:rPr>
          <w:t xml:space="preserve">R0971</w:t>
        </w:r>
      </w:hyperlink>
      <w:r>
        <w:t xml:space="preserve">.</w:t>
      </w:r>
    </w:p>
    <w:p>
      <w:pPr>
        <w:numPr>
          <w:ilvl w:val="0"/>
          <w:numId w:val="1001"/>
        </w:numPr>
        <w:pStyle w:val="Compact"/>
      </w:pPr>
      <w:r>
        <w:rPr>
          <w:bCs/>
          <w:b/>
        </w:rPr>
        <w:t xml:space="preserve">Motie M1 (23 september 2026) en de erfgoedregels.</w:t>
      </w:r>
      <w:r>
        <w:t xml:space="preserve"> </w:t>
      </w:r>
      <w:r>
        <w:t xml:space="preserve">De raad nam op 23 september 2026 unaniem motie M1 aan: het college onderzoekt de monumentale en cultuurhistorische waarde van het voormalige blindeninstituut (Amersfoortsestraatweg 180) en past in afwachting daarvan voorbescherming toe conform het advies van de Commissie Ruimtelijke Kwaliteit; de uitkomst komt uiterlijk 3 februari 2027. De gemeentelijke erfgoedregels staan in de Verordening Fysieke Leefomgeving Huizen 2022. Bron:</w:t>
      </w:r>
      <w:r>
        <w:t xml:space="preserve"> </w:t>
      </w:r>
      <w:hyperlink r:id="rId26">
        <w:r>
          <w:rPr>
            <w:rStyle w:val="Hyperlink"/>
          </w:rPr>
          <w:t xml:space="preserve">R0981</w:t>
        </w:r>
      </w:hyperlink>
      <w:r>
        <w:t xml:space="preserve">,</w:t>
      </w:r>
      <w:r>
        <w:t xml:space="preserve"> </w:t>
      </w:r>
      <w:hyperlink r:id="rId27">
        <w:r>
          <w:rPr>
            <w:rStyle w:val="Hyperlink"/>
          </w:rPr>
          <w:t xml:space="preserve">R0045</w:t>
        </w:r>
      </w:hyperlink>
      <w:r>
        <w:t xml:space="preserve">.</w:t>
      </w:r>
    </w:p>
    <w:p>
      <w:pPr>
        <w:numPr>
          <w:ilvl w:val="0"/>
          <w:numId w:val="1001"/>
        </w:numPr>
        <w:pStyle w:val="Compact"/>
      </w:pPr>
      <w:r>
        <w:rPr>
          <w:bCs/>
          <w:b/>
        </w:rPr>
        <w:t xml:space="preserve">Spreidingswet, indicatieve verdeling en verdeelbesluit.</w:t>
      </w:r>
      <w:r>
        <w:t xml:space="preserve"> </w:t>
      </w:r>
      <w:r>
        <w:t xml:space="preserve">De Spreidingswet (officieel: Wet gemeentelijke taak mogelijk maken asielopvangvoorzieningen, Staatsblad 2024, 12, in werking sinds 1 februari 2024) werkt in cycli van twee jaar. De minister publiceert eerst een capaciteitsraming met een indicatieve verdeling per gemeente (voor 2026: Huizen 216 plekken, waarvan 14 voor alleenstaande minderjarigen, Staatscourant 2026, 9053). Die indicatie is nog geen taak. Pas het verdeelbesluit van de minister (voor de lopende cyclus december 2024: Huizen 200 plekken) schept een wettelijke taak; het volgende verdeelbesluit wordt in december 2026 verwacht. De wet wijst aantallen plekken aan, geen adressen of locaties. Bron:</w:t>
      </w:r>
      <w:r>
        <w:t xml:space="preserve"> </w:t>
      </w:r>
      <w:hyperlink r:id="rId28">
        <w:r>
          <w:rPr>
            <w:rStyle w:val="Hyperlink"/>
          </w:rPr>
          <w:t xml:space="preserve">R0014</w:t>
        </w:r>
      </w:hyperlink>
      <w:r>
        <w:t xml:space="preserve">,</w:t>
      </w:r>
      <w:r>
        <w:t xml:space="preserve"> </w:t>
      </w:r>
      <w:hyperlink r:id="rId29">
        <w:r>
          <w:rPr>
            <w:rStyle w:val="Hyperlink"/>
          </w:rPr>
          <w:t xml:space="preserve">R0029</w:t>
        </w:r>
      </w:hyperlink>
      <w:r>
        <w:t xml:space="preserve">,</w:t>
      </w:r>
      <w:r>
        <w:t xml:space="preserve"> </w:t>
      </w:r>
      <w:hyperlink r:id="rId30">
        <w:r>
          <w:rPr>
            <w:rStyle w:val="Hyperlink"/>
          </w:rPr>
          <w:t xml:space="preserve">R0021</w:t>
        </w:r>
      </w:hyperlink>
      <w:r>
        <w:t xml:space="preserve">,</w:t>
      </w:r>
      <w:r>
        <w:t xml:space="preserve"> </w:t>
      </w:r>
      <w:hyperlink r:id="rId31">
        <w:r>
          <w:rPr>
            <w:rStyle w:val="Hyperlink"/>
          </w:rPr>
          <w:t xml:space="preserve">R0038</w:t>
        </w:r>
      </w:hyperlink>
      <w:r>
        <w:t xml:space="preserve">.</w:t>
      </w:r>
    </w:p>
    <w:p>
      <w:pPr>
        <w:numPr>
          <w:ilvl w:val="0"/>
          <w:numId w:val="1001"/>
        </w:numPr>
        <w:pStyle w:val="Compact"/>
      </w:pPr>
      <w:r>
        <w:rPr>
          <w:bCs/>
          <w:b/>
        </w:rPr>
        <w:t xml:space="preserve">Hoe Hilversum het aanpakte.</w:t>
      </w:r>
      <w:r>
        <w:t xml:space="preserve"> </w:t>
      </w:r>
      <w:r>
        <w:t xml:space="preserve">Hilversum wees in 2026 twee locaties aan (Naarderweg, 120 plekken voor 30 jaar, en Noordse Bosje, 70 plekken). De gemeente informeerde per locatie een getekend gebied van direct omwonenden, tot ongeveer 500 à 700 meter, nodigde hen uit voor besloten bijeenkomsten, publiceerde direct een concept veiligheids- en leefbaarheidsplan en neemt het definitieve besluit pas na een bestuursovereenkomst met het COA waarin de inbreng van de buurt is verwerkt. Bron:</w:t>
      </w:r>
      <w:r>
        <w:t xml:space="preserve"> </w:t>
      </w:r>
      <w:hyperlink r:id="rId32">
        <w:r>
          <w:rPr>
            <w:rStyle w:val="Hyperlink"/>
          </w:rPr>
          <w:t xml:space="preserve">R0928</w:t>
        </w:r>
      </w:hyperlink>
      <w:r>
        <w:t xml:space="preserve">,</w:t>
      </w:r>
      <w:r>
        <w:t xml:space="preserve"> </w:t>
      </w:r>
      <w:hyperlink r:id="rId33">
        <w:r>
          <w:rPr>
            <w:rStyle w:val="Hyperlink"/>
          </w:rPr>
          <w:t xml:space="preserve">R0315</w:t>
        </w:r>
      </w:hyperlink>
      <w:r>
        <w:t xml:space="preserve">,</w:t>
      </w:r>
      <w:r>
        <w:t xml:space="preserve"> </w:t>
      </w:r>
      <w:hyperlink r:id="rId34">
        <w:r>
          <w:rPr>
            <w:rStyle w:val="Hyperlink"/>
          </w:rPr>
          <w:t xml:space="preserve">R0317</w:t>
        </w:r>
      </w:hyperlink>
      <w:r>
        <w:t xml:space="preserve">.</w:t>
      </w:r>
    </w:p>
    <w:p>
      <w:pPr>
        <w:numPr>
          <w:ilvl w:val="0"/>
          <w:numId w:val="1001"/>
        </w:numPr>
        <w:pStyle w:val="Compact"/>
      </w:pPr>
      <w:r>
        <w:rPr>
          <w:bCs/>
          <w:b/>
        </w:rPr>
        <w:t xml:space="preserve">Het COA.</w:t>
      </w:r>
      <w:r>
        <w:t xml:space="preserve"> </w:t>
      </w:r>
      <w:r>
        <w:t xml:space="preserve">Het Centraal Orgaan opvang asielzoekers (COA) is de rijksorganisatie die asielzoekers opvangt en begeleidt. Een gemeente stelt een locatie beschikbaar; het COA exploiteert de opvang en legt de afspraken met de gemeente vast in een bestuursovereenkomst. Onder de Spreidingswet tellen alleen COA-plekken mee voor de gemeentelijke opgave. Bron:</w:t>
      </w:r>
      <w:r>
        <w:t xml:space="preserve"> </w:t>
      </w:r>
      <w:hyperlink r:id="rId31">
        <w:r>
          <w:rPr>
            <w:rStyle w:val="Hyperlink"/>
          </w:rPr>
          <w:t xml:space="preserve">R0038</w:t>
        </w:r>
      </w:hyperlink>
      <w:r>
        <w:t xml:space="preserve">,</w:t>
      </w:r>
      <w:r>
        <w:t xml:space="preserve"> </w:t>
      </w:r>
      <w:hyperlink r:id="rId28">
        <w:r>
          <w:rPr>
            <w:rStyle w:val="Hyperlink"/>
          </w:rPr>
          <w:t xml:space="preserve">R0014</w:t>
        </w:r>
      </w:hyperlink>
      <w:r>
        <w:t xml:space="preserve">.</w:t>
      </w:r>
    </w:p>
    <w:p>
      <w:pPr>
        <w:numPr>
          <w:ilvl w:val="0"/>
          <w:numId w:val="1001"/>
        </w:numPr>
        <w:pStyle w:val="Compact"/>
      </w:pPr>
      <w:r>
        <w:rPr>
          <w:bCs/>
          <w:b/>
        </w:rPr>
        <w:t xml:space="preserve">Bestemmingsplan Buitenwijken, artikel 8.2: het bouwvlak.</w:t>
      </w:r>
      <w:r>
        <w:t xml:space="preserve"> </w:t>
      </w:r>
      <w:r>
        <w:t xml:space="preserve">Het bestemmingsplan Buitenwijken (2013) geeft het Visio-terrein de bestemming Maatschappelijk met een bouwvlak. Artikel 8.2 bepaalt dat gebouwen alleen binnen dat bouwvlak mogen staan. Het achterterrein (ongeveer 38.600 vierkante meter) ligt buiten het bouwvlak; bebouwing daar vraagt dus om een afwijking van het plan. Bron:</w:t>
      </w:r>
      <w:r>
        <w:t xml:space="preserve"> </w:t>
      </w:r>
      <w:hyperlink r:id="rId35">
        <w:r>
          <w:rPr>
            <w:rStyle w:val="Hyperlink"/>
          </w:rPr>
          <w:t xml:space="preserve">R0137</w:t>
        </w:r>
      </w:hyperlink>
      <w:r>
        <w:t xml:space="preserve">,</w:t>
      </w:r>
      <w:r>
        <w:t xml:space="preserve"> </w:t>
      </w:r>
      <w:hyperlink r:id="rId36">
        <w:r>
          <w:rPr>
            <w:rStyle w:val="Hyperlink"/>
          </w:rPr>
          <w:t xml:space="preserve">R0046</w:t>
        </w:r>
      </w:hyperlink>
      <w:r>
        <w:t xml:space="preserve">.</w:t>
      </w:r>
    </w:p>
    <w:p>
      <w:pPr>
        <w:numPr>
          <w:ilvl w:val="0"/>
          <w:numId w:val="1001"/>
        </w:numPr>
        <w:pStyle w:val="Compact"/>
      </w:pPr>
      <w:r>
        <w:rPr>
          <w:bCs/>
          <w:b/>
        </w:rPr>
        <w:t xml:space="preserve">Omgevingsverordening NH2022, artikel 6.59a: Beschermd landschap.</w:t>
      </w:r>
      <w:r>
        <w:t xml:space="preserve"> </w:t>
      </w:r>
      <w:r>
        <w:t xml:space="preserve">In het provinciale werkingsgebied Beschermd landschap (Bijzonder provinciaal landschap) is nieuwe bebouwing van meer dan 500 vierkante meter voor stedelijke functies verboden. Gedeputeerde Staten kunnen alleen een ontheffing verlenen als er geen reële alternatieven zijn en de kernkwaliteiten van het landschap niet onaanvaardbaar worden aangetast. Volgens onze berekening op basis van de provinciale kaartlagen ligt 93 procent van het achterterrein van de Visio-locatie in dit gebied. Bij Uitgeest (Tolweg, 2025) en Velsen (2026) verleende de provincie zulke ontheffingen voor asielopvang; die besluiten laten zien welke onderbouwing de provincie dan vraagt. Bron:</w:t>
      </w:r>
      <w:r>
        <w:t xml:space="preserve"> </w:t>
      </w:r>
      <w:hyperlink r:id="rId37">
        <w:r>
          <w:rPr>
            <w:rStyle w:val="Hyperlink"/>
          </w:rPr>
          <w:t xml:space="preserve">R0053</w:t>
        </w:r>
      </w:hyperlink>
      <w:r>
        <w:t xml:space="preserve">,</w:t>
      </w:r>
      <w:r>
        <w:t xml:space="preserve"> </w:t>
      </w:r>
      <w:hyperlink r:id="rId38">
        <w:r>
          <w:rPr>
            <w:rStyle w:val="Hyperlink"/>
          </w:rPr>
          <w:t xml:space="preserve">R0048</w:t>
        </w:r>
      </w:hyperlink>
      <w:r>
        <w:t xml:space="preserve">,</w:t>
      </w:r>
      <w:r>
        <w:t xml:space="preserve"> </w:t>
      </w:r>
      <w:hyperlink r:id="rId36">
        <w:r>
          <w:rPr>
            <w:rStyle w:val="Hyperlink"/>
          </w:rPr>
          <w:t xml:space="preserve">R0046</w:t>
        </w:r>
      </w:hyperlink>
      <w:r>
        <w:t xml:space="preserve">,</w:t>
      </w:r>
      <w:r>
        <w:t xml:space="preserve"> </w:t>
      </w:r>
      <w:hyperlink r:id="rId39">
        <w:r>
          <w:rPr>
            <w:rStyle w:val="Hyperlink"/>
          </w:rPr>
          <w:t xml:space="preserve">R0058</w:t>
        </w:r>
      </w:hyperlink>
      <w:r>
        <w:t xml:space="preserve">,</w:t>
      </w:r>
      <w:r>
        <w:t xml:space="preserve"> </w:t>
      </w:r>
      <w:hyperlink r:id="rId40">
        <w:r>
          <w:rPr>
            <w:rStyle w:val="Hyperlink"/>
          </w:rPr>
          <w:t xml:space="preserve">R0124</w:t>
        </w:r>
      </w:hyperlink>
      <w:r>
        <w:t xml:space="preserve">.</w:t>
      </w:r>
    </w:p>
    <w:p>
      <w:pPr>
        <w:numPr>
          <w:ilvl w:val="0"/>
          <w:numId w:val="1001"/>
        </w:numPr>
        <w:pStyle w:val="Compact"/>
      </w:pPr>
      <w:r>
        <w:rPr>
          <w:bCs/>
          <w:b/>
        </w:rPr>
        <w:t xml:space="preserve">Het raadsbesluit over de opvangschepen in de Werkhaven (10 juli 2025).</w:t>
      </w:r>
      <w:r>
        <w:t xml:space="preserve"> </w:t>
      </w:r>
      <w:r>
        <w:t xml:space="preserve">De raad stemde op 10 juli 2025 met 14 tegen 13 in met een derde winter opvang op schepen in de Werkhaven, via amendement A1 met als voorwaarde dat daarna geen enkele vorm van asielopvang meer plaatsvindt in de werkhaven of elders in die wijk. Het bijbehorende trajectplan regelde een adviesgroep van omwonenden en ondernemers met een onafhankelijke voorzitter, twee wijkverbinders en beveiliging in de avond, een meldpunt en een maandelijkse nieuwsbrief; de extra kosten bedroegen volgens de nieuwsbrief van januari 2026 ongeveer 100.000 euro per zes maanden, betaald door de gemeente. Bron:</w:t>
      </w:r>
      <w:r>
        <w:t xml:space="preserve"> </w:t>
      </w:r>
      <w:hyperlink r:id="rId41">
        <w:r>
          <w:rPr>
            <w:rStyle w:val="Hyperlink"/>
          </w:rPr>
          <w:t xml:space="preserve">R0292</w:t>
        </w:r>
      </w:hyperlink>
      <w:r>
        <w:t xml:space="preserve">,</w:t>
      </w:r>
      <w:r>
        <w:t xml:space="preserve"> </w:t>
      </w:r>
      <w:hyperlink r:id="rId42">
        <w:r>
          <w:rPr>
            <w:rStyle w:val="Hyperlink"/>
          </w:rPr>
          <w:t xml:space="preserve">R0296</w:t>
        </w:r>
      </w:hyperlink>
      <w:r>
        <w:t xml:space="preserve">.</w:t>
      </w:r>
    </w:p>
    <w:p>
      <w:pPr>
        <w:numPr>
          <w:ilvl w:val="0"/>
          <w:numId w:val="1001"/>
        </w:numPr>
        <w:pStyle w:val="Compact"/>
      </w:pPr>
      <w:r>
        <w:rPr>
          <w:bCs/>
          <w:b/>
        </w:rPr>
        <w:t xml:space="preserve">Participatie: wat de wet en de eigen regels van Huizen vragen.</w:t>
      </w:r>
      <w:r>
        <w:t xml:space="preserve"> </w:t>
      </w:r>
      <w:r>
        <w:t xml:space="preserve">De Omgevingswet (artikel 16.55) vraagt bij een vergunningaanvraag om aan te geven of en hoe omwonenden zijn betrokken; de raad kan gevallen aanwijzen waarin participatie verplicht is, maar Huizen heeft zo’n lijst niet vastgesteld. Voor het locatiebesluit zelf gelden de eigen regels van de gemeente: de Inspraak- en participatieverordening 2010 (onder meer artikel 7 lid 2: voldoende tijd en informatie voor een goede voorbereiding, en artikel 8: een verslag van elke bijeenkomst), het participatiebeleid</w:t>
      </w:r>
      <w:r>
        <w:t xml:space="preserve"> </w:t>
      </w:r>
      <w:r>
        <w:t xml:space="preserve">‘</w:t>
      </w:r>
      <w:r>
        <w:t xml:space="preserve">Wij maken Huizen</w:t>
      </w:r>
      <w:r>
        <w:t xml:space="preserve">’</w:t>
      </w:r>
      <w:r>
        <w:t xml:space="preserve"> </w:t>
      </w:r>
      <w:r>
        <w:t xml:space="preserve">(2022) en het participatieplan bij het raadsvoorstel (7 oktober 2026). Een landelijke termijn of afstand voor het informeren van omwonenden bestaat niet. Bron:</w:t>
      </w:r>
      <w:r>
        <w:t xml:space="preserve"> </w:t>
      </w:r>
      <w:hyperlink r:id="rId43">
        <w:r>
          <w:rPr>
            <w:rStyle w:val="Hyperlink"/>
          </w:rPr>
          <w:t xml:space="preserve">R0035</w:t>
        </w:r>
      </w:hyperlink>
      <w:r>
        <w:t xml:space="preserve">,</w:t>
      </w:r>
      <w:r>
        <w:t xml:space="preserve"> </w:t>
      </w:r>
      <w:hyperlink r:id="rId44">
        <w:r>
          <w:rPr>
            <w:rStyle w:val="Hyperlink"/>
          </w:rPr>
          <w:t xml:space="preserve">R0193</w:t>
        </w:r>
      </w:hyperlink>
      <w:r>
        <w:t xml:space="preserve">,</w:t>
      </w:r>
      <w:r>
        <w:t xml:space="preserve"> </w:t>
      </w:r>
      <w:hyperlink r:id="rId45">
        <w:r>
          <w:rPr>
            <w:rStyle w:val="Hyperlink"/>
          </w:rPr>
          <w:t xml:space="preserve">R0187</w:t>
        </w:r>
      </w:hyperlink>
      <w:r>
        <w:t xml:space="preserve">,</w:t>
      </w:r>
      <w:r>
        <w:t xml:space="preserve"> </w:t>
      </w:r>
      <w:hyperlink r:id="rId46">
        <w:r>
          <w:rPr>
            <w:rStyle w:val="Hyperlink"/>
          </w:rPr>
          <w:t xml:space="preserve">R1062</w:t>
        </w:r>
      </w:hyperlink>
      <w:r>
        <w:t xml:space="preserve">,</w:t>
      </w:r>
      <w:r>
        <w:t xml:space="preserve"> </w:t>
      </w:r>
      <w:hyperlink r:id="rId47">
        <w:r>
          <w:rPr>
            <w:rStyle w:val="Hyperlink"/>
          </w:rPr>
          <w:t xml:space="preserve">R0281</w:t>
        </w:r>
      </w:hyperlink>
      <w:r>
        <w:t xml:space="preserve">.</w:t>
      </w:r>
    </w:p>
    <w:p>
      <w:pPr>
        <w:numPr>
          <w:ilvl w:val="0"/>
          <w:numId w:val="1001"/>
        </w:numPr>
        <w:pStyle w:val="Compact"/>
      </w:pPr>
      <w:r>
        <w:rPr>
          <w:bCs/>
          <w:b/>
        </w:rPr>
        <w:t xml:space="preserve">Omgevingswet, artikel 5.36: tijdelijke afwijking van het omgevingsplan.</w:t>
      </w:r>
      <w:r>
        <w:t xml:space="preserve"> </w:t>
      </w:r>
      <w:r>
        <w:t>Een opvanglocatie die niet past in het omgevingsplan (voorheen bestemmingsplan) heeft een omgevingsvergunning voor een buitenplanse omgevingsplanactiviteit (BOPA) nodig. Artikel 5.36 van de Omgevingswet maakt het mogelijk zo’n vergunning voor een bepaalde termijn te verlenen. De wet kent daarbij geen maximumtermijn: de duur is een keuze van het bevoegd gezag. Bij verschillende tijdelijke opvanglocaties in de regio is de looptijd na afloop verlengd. Bron:</w:t>
      </w:r>
      <w:r>
        <w:t xml:space="preserve"> </w:t>
      </w:r>
      <w:hyperlink r:id="rId43">
        <w:r>
          <w:rPr>
            <w:rStyle w:val="Hyperlink"/>
          </w:rPr>
          <w:t xml:space="preserve">R0035</w:t>
        </w:r>
      </w:hyperlink>
      <w:r>
        <w:t xml:space="preserve">.</w:t>
      </w:r>
    </w:p>
    <w:p>
      <w:pPr>
        <w:numPr>
          <w:ilvl w:val="0"/>
          <w:numId w:val="1001"/>
        </w:numPr>
        <w:pStyle w:val="Compact"/>
      </w:pPr>
      <w:r>
        <w:rPr>
          <w:bCs/>
          <w:b/>
        </w:rPr>
        <w:t xml:space="preserve">Provinciale regietafel en uitruil.</w:t>
      </w:r>
      <w:r>
        <w:t xml:space="preserve"> </w:t>
      </w:r>
      <w:r>
        <w:t xml:space="preserve">Aan de provinciale regietafel (onder leiding van de commissaris van de Koning) spreken gemeenten af wie welke plekken levert. Opgaven voor asiel, statushouders en Oekraïense ontheemden mogen onderling worden geruild; die afspraken komen in het provinciaal verslag en worden in het verdeelbesluit overgenomen. Voor de tweede cyclus moet de regionale inbreng van Gooi en Vechtstreek uiterlijk 11 november 2026 zijn ingediend en moet het provinciaal verslag vóór 1 december 2026 bij de minister liggen. Bron:</w:t>
      </w:r>
      <w:r>
        <w:t xml:space="preserve"> </w:t>
      </w:r>
      <w:hyperlink r:id="rId31">
        <w:r>
          <w:rPr>
            <w:rStyle w:val="Hyperlink"/>
          </w:rPr>
          <w:t xml:space="preserve">R0038</w:t>
        </w:r>
      </w:hyperlink>
      <w:r>
        <w:t xml:space="preserve">,</w:t>
      </w:r>
      <w:r>
        <w:t xml:space="preserve"> </w:t>
      </w:r>
      <w:hyperlink r:id="rId48">
        <w:r>
          <w:rPr>
            <w:rStyle w:val="Hyperlink"/>
          </w:rPr>
          <w:t xml:space="preserve">R0921</w:t>
        </w:r>
      </w:hyperlink>
      <w:r>
        <w:t xml:space="preserve">.</w:t>
      </w:r>
    </w:p>
    <w:p>
      <w:pPr>
        <w:numPr>
          <w:ilvl w:val="0"/>
          <w:numId w:val="1001"/>
        </w:numPr>
        <w:pStyle w:val="Compact"/>
      </w:pPr>
      <w:r>
        <w:rPr>
          <w:bCs/>
          <w:b/>
        </w:rPr>
        <w:t xml:space="preserve">De bestuursovereenkomst van Lochem met het COA (2 september 2025).</w:t>
      </w:r>
      <w:r>
        <w:t xml:space="preserve"> </w:t>
      </w:r>
      <w:r>
        <w:t xml:space="preserve">Lochem legde voor een locatie van 250 plaatsen voor vijftien jaar in de overeenkomst met het COA vast wat er voor de omgeving geregeld wordt: een beheergroep met omwonenden, een omwonendenoverleg, een onafhankelijke monitor, een meldpunt en beveiliging die dag en nacht bereikbaar zijn (bijlage C). Het is een voorbeeld van afspraken die een gemeente vóór de start kan vastleggen. Bron:</w:t>
      </w:r>
      <w:r>
        <w:t xml:space="preserve"> </w:t>
      </w:r>
      <w:hyperlink r:id="rId49">
        <w:r>
          <w:rPr>
            <w:rStyle w:val="Hyperlink"/>
          </w:rPr>
          <w:t xml:space="preserve">R0108</w:t>
        </w:r>
      </w:hyperlink>
      <w:r>
        <w:t xml:space="preserve">.</w:t>
      </w:r>
    </w:p>
    <w:p>
      <w:pPr>
        <w:numPr>
          <w:ilvl w:val="0"/>
          <w:numId w:val="1001"/>
        </w:numPr>
        <w:pStyle w:val="Compact"/>
      </w:pPr>
      <w:r>
        <w:rPr>
          <w:bCs/>
          <w:b/>
        </w:rPr>
        <w:t xml:space="preserve">Omgevingswet, artikel 16.15a: bindend adviesrecht van de raad.</w:t>
      </w:r>
      <w:r>
        <w:t xml:space="preserve"> </w:t>
      </w:r>
      <w:r>
        <w:t xml:space="preserve">De gemeenteraad kan gevallen aanwijzen waarin het college een buitenplanse omgevingsvergunning alleen mag verlenen na een bindend advies van de raad. De raad van Huizen heeft zo’n lijst vastgesteld op 20 december 2021. Of een opvanglocatie onder die lijst valt, bepaalt of de raad bij de vergunning nog een beslissend woord heeft. Bron:</w:t>
      </w:r>
      <w:r>
        <w:t xml:space="preserve"> </w:t>
      </w:r>
      <w:hyperlink r:id="rId43">
        <w:r>
          <w:rPr>
            <w:rStyle w:val="Hyperlink"/>
          </w:rPr>
          <w:t xml:space="preserve">R0035</w:t>
        </w:r>
      </w:hyperlink>
      <w:r>
        <w:t xml:space="preserve">,</w:t>
      </w:r>
      <w:r>
        <w:t xml:space="preserve"> </w:t>
      </w:r>
      <w:hyperlink r:id="rId44">
        <w:r>
          <w:rPr>
            <w:rStyle w:val="Hyperlink"/>
          </w:rPr>
          <w:t xml:space="preserve">R0193</w:t>
        </w:r>
      </w:hyperlink>
      <w:r>
        <w:t xml:space="preserve">.</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nl-NL"/>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b w:val="0"/>
      <w:sz w:val="21"/>
    </w:rPr>
  </w:style>
  <w:style w:styleId="BodyText" w:type="paragraph">
    <w:name w:val="Body Text"/>
    <w:basedOn w:val="Normal"/>
    <w:link w:val="BodyTextChar"/>
    <w:pPr>
      <w:spacing w:after="180" w:before="180"/>
    </w:pPr>
    <w:qFormat/>
    <w:rPr>
      <w:rFonts w:ascii="Calibri" w:hAnsi="Calibri"/>
      <w:b w:val="0"/>
      <w:sz w:val="21"/>
    </w:rPr>
  </w:style>
  <w:style w:customStyle="1" w:styleId="FirstParagraph" w:type="paragraph">
    <w:name w:val="First Paragraph"/>
    <w:basedOn w:val="BodyText"/>
    <w:next w:val="BodyText"/>
    <w:qFormat/>
    <w:rPr>
      <w:rFonts w:ascii="Calibri" w:hAnsi="Calibri"/>
      <w:b w:val="0"/>
      <w:sz w:val="21"/>
    </w:rPr>
  </w:style>
  <w:style w:customStyle="1" w:styleId="Compact" w:type="paragraph">
    <w:name w:val="Compact"/>
    <w:basedOn w:val="BodyText"/>
    <w:qFormat/>
    <w:pPr>
      <w:spacing w:after="36" w:before="36"/>
    </w:pPr>
    <w:rPr>
      <w:rFonts w:ascii="Calibri" w:hAnsi="Calibri"/>
      <w:b w:val="0"/>
      <w:sz w:val="20"/>
    </w:rPr>
  </w:style>
  <w:style w:styleId="Title" w:type="paragraph">
    <w:name w:val="Title"/>
    <w:basedOn w:val="Normal"/>
    <w:next w:val="BodyText"/>
    <w:qFormat/>
    <w:pPr>
      <w:keepNext/>
      <w:keepLines/>
      <w:spacing w:after="240" w:before="480"/>
      <w:jc w:val="center"/>
    </w:pPr>
    <w:rPr>
      <w:rFonts w:ascii="Calibri" w:asciiTheme="majorHAnsi" w:cstheme="majorBidi" w:eastAsiaTheme="majorEastAsia" w:hAnsi="Calibri" w:hAnsiTheme="majorHAnsi"/>
      <w:b/>
      <w:bCs/>
      <w:color w:val="1F4E79"/>
      <w:sz w:val="40"/>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8" Type="http://schemas.openxmlformats.org/officeDocument/2006/relationships/hyperlink" Target="https://crailo.com/lezen.html?b=R0014" TargetMode="External"/><Relationship Id="rId30" Type="http://schemas.openxmlformats.org/officeDocument/2006/relationships/hyperlink" Target="https://crailo.com/lezen.html?b=R0021" TargetMode="External"/><Relationship Id="rId29" Type="http://schemas.openxmlformats.org/officeDocument/2006/relationships/hyperlink" Target="https://crailo.com/lezen.html?b=R0029" TargetMode="External"/><Relationship Id="rId43" Type="http://schemas.openxmlformats.org/officeDocument/2006/relationships/hyperlink" Target="https://crailo.com/lezen.html?b=R0035" TargetMode="External"/><Relationship Id="rId31" Type="http://schemas.openxmlformats.org/officeDocument/2006/relationships/hyperlink" Target="https://crailo.com/lezen.html?b=R0038" TargetMode="External"/><Relationship Id="rId27" Type="http://schemas.openxmlformats.org/officeDocument/2006/relationships/hyperlink" Target="https://crailo.com/lezen.html?b=R0045" TargetMode="External"/><Relationship Id="rId36" Type="http://schemas.openxmlformats.org/officeDocument/2006/relationships/hyperlink" Target="https://crailo.com/lezen.html?b=R0046" TargetMode="External"/><Relationship Id="rId38" Type="http://schemas.openxmlformats.org/officeDocument/2006/relationships/hyperlink" Target="https://crailo.com/lezen.html?b=R0048" TargetMode="External"/><Relationship Id="rId37" Type="http://schemas.openxmlformats.org/officeDocument/2006/relationships/hyperlink" Target="https://crailo.com/lezen.html?b=R0053" TargetMode="External"/><Relationship Id="rId39" Type="http://schemas.openxmlformats.org/officeDocument/2006/relationships/hyperlink" Target="https://crailo.com/lezen.html?b=R0058" TargetMode="External"/><Relationship Id="rId49" Type="http://schemas.openxmlformats.org/officeDocument/2006/relationships/hyperlink" Target="https://crailo.com/lezen.html?b=R0108" TargetMode="External"/><Relationship Id="rId40" Type="http://schemas.openxmlformats.org/officeDocument/2006/relationships/hyperlink" Target="https://crailo.com/lezen.html?b=R0124" TargetMode="External"/><Relationship Id="rId35" Type="http://schemas.openxmlformats.org/officeDocument/2006/relationships/hyperlink" Target="https://crailo.com/lezen.html?b=R0137" TargetMode="External"/><Relationship Id="rId45" Type="http://schemas.openxmlformats.org/officeDocument/2006/relationships/hyperlink" Target="https://crailo.com/lezen.html?b=R0187" TargetMode="External"/><Relationship Id="rId44" Type="http://schemas.openxmlformats.org/officeDocument/2006/relationships/hyperlink" Target="https://crailo.com/lezen.html?b=R0193" TargetMode="External"/><Relationship Id="rId22" Type="http://schemas.openxmlformats.org/officeDocument/2006/relationships/hyperlink" Target="https://crailo.com/lezen.html?b=R0278" TargetMode="External"/><Relationship Id="rId24" Type="http://schemas.openxmlformats.org/officeDocument/2006/relationships/hyperlink" Target="https://crailo.com/lezen.html?b=R0279" TargetMode="External"/><Relationship Id="rId47" Type="http://schemas.openxmlformats.org/officeDocument/2006/relationships/hyperlink" Target="https://crailo.com/lezen.html?b=R0281" TargetMode="External"/><Relationship Id="rId23" Type="http://schemas.openxmlformats.org/officeDocument/2006/relationships/hyperlink" Target="https://crailo.com/lezen.html?b=R0287" TargetMode="External"/><Relationship Id="rId41" Type="http://schemas.openxmlformats.org/officeDocument/2006/relationships/hyperlink" Target="https://crailo.com/lezen.html?b=R0292" TargetMode="External"/><Relationship Id="rId42" Type="http://schemas.openxmlformats.org/officeDocument/2006/relationships/hyperlink" Target="https://crailo.com/lezen.html?b=R0296" TargetMode="External"/><Relationship Id="rId33" Type="http://schemas.openxmlformats.org/officeDocument/2006/relationships/hyperlink" Target="https://crailo.com/lezen.html?b=R0315" TargetMode="External"/><Relationship Id="rId34" Type="http://schemas.openxmlformats.org/officeDocument/2006/relationships/hyperlink" Target="https://crailo.com/lezen.html?b=R0317" TargetMode="External"/><Relationship Id="rId48" Type="http://schemas.openxmlformats.org/officeDocument/2006/relationships/hyperlink" Target="https://crailo.com/lezen.html?b=R0921" TargetMode="External"/><Relationship Id="rId32" Type="http://schemas.openxmlformats.org/officeDocument/2006/relationships/hyperlink" Target="https://crailo.com/lezen.html?b=R0928" TargetMode="External"/><Relationship Id="rId25" Type="http://schemas.openxmlformats.org/officeDocument/2006/relationships/hyperlink" Target="https://crailo.com/lezen.html?b=R0971" TargetMode="External"/><Relationship Id="rId26" Type="http://schemas.openxmlformats.org/officeDocument/2006/relationships/hyperlink" Target="https://crailo.com/lezen.html?b=R0981" TargetMode="External"/><Relationship Id="rId46" Type="http://schemas.openxmlformats.org/officeDocument/2006/relationships/hyperlink" Target="https://crailo.com/lezen.html?b=R1062" TargetMode="External"/></Relationships>
</file>

<file path=word/_rels/footnotes.xml.rels><?xml version='1.0' encoding='UTF-8' standalone='yes'?>
<Relationships xmlns="http://schemas.openxmlformats.org/package/2006/relationships"><Relationship Id="rId28" Type="http://schemas.openxmlformats.org/officeDocument/2006/relationships/hyperlink" Target="https://crailo.com/lezen.html?b=R0014" TargetMode="External"/><Relationship Id="rId30" Type="http://schemas.openxmlformats.org/officeDocument/2006/relationships/hyperlink" Target="https://crailo.com/lezen.html?b=R0021" TargetMode="External"/><Relationship Id="rId29" Type="http://schemas.openxmlformats.org/officeDocument/2006/relationships/hyperlink" Target="https://crailo.com/lezen.html?b=R0029" TargetMode="External"/><Relationship Id="rId43" Type="http://schemas.openxmlformats.org/officeDocument/2006/relationships/hyperlink" Target="https://crailo.com/lezen.html?b=R0035" TargetMode="External"/><Relationship Id="rId31" Type="http://schemas.openxmlformats.org/officeDocument/2006/relationships/hyperlink" Target="https://crailo.com/lezen.html?b=R0038" TargetMode="External"/><Relationship Id="rId27" Type="http://schemas.openxmlformats.org/officeDocument/2006/relationships/hyperlink" Target="https://crailo.com/lezen.html?b=R0045" TargetMode="External"/><Relationship Id="rId36" Type="http://schemas.openxmlformats.org/officeDocument/2006/relationships/hyperlink" Target="https://crailo.com/lezen.html?b=R0046" TargetMode="External"/><Relationship Id="rId38" Type="http://schemas.openxmlformats.org/officeDocument/2006/relationships/hyperlink" Target="https://crailo.com/lezen.html?b=R0048" TargetMode="External"/><Relationship Id="rId37" Type="http://schemas.openxmlformats.org/officeDocument/2006/relationships/hyperlink" Target="https://crailo.com/lezen.html?b=R0053" TargetMode="External"/><Relationship Id="rId39" Type="http://schemas.openxmlformats.org/officeDocument/2006/relationships/hyperlink" Target="https://crailo.com/lezen.html?b=R0058" TargetMode="External"/><Relationship Id="rId49" Type="http://schemas.openxmlformats.org/officeDocument/2006/relationships/hyperlink" Target="https://crailo.com/lezen.html?b=R0108" TargetMode="External"/><Relationship Id="rId40" Type="http://schemas.openxmlformats.org/officeDocument/2006/relationships/hyperlink" Target="https://crailo.com/lezen.html?b=R0124" TargetMode="External"/><Relationship Id="rId35" Type="http://schemas.openxmlformats.org/officeDocument/2006/relationships/hyperlink" Target="https://crailo.com/lezen.html?b=R0137" TargetMode="External"/><Relationship Id="rId45" Type="http://schemas.openxmlformats.org/officeDocument/2006/relationships/hyperlink" Target="https://crailo.com/lezen.html?b=R0187" TargetMode="External"/><Relationship Id="rId44" Type="http://schemas.openxmlformats.org/officeDocument/2006/relationships/hyperlink" Target="https://crailo.com/lezen.html?b=R0193" TargetMode="External"/><Relationship Id="rId22" Type="http://schemas.openxmlformats.org/officeDocument/2006/relationships/hyperlink" Target="https://crailo.com/lezen.html?b=R0278" TargetMode="External"/><Relationship Id="rId24" Type="http://schemas.openxmlformats.org/officeDocument/2006/relationships/hyperlink" Target="https://crailo.com/lezen.html?b=R0279" TargetMode="External"/><Relationship Id="rId47" Type="http://schemas.openxmlformats.org/officeDocument/2006/relationships/hyperlink" Target="https://crailo.com/lezen.html?b=R0281" TargetMode="External"/><Relationship Id="rId23" Type="http://schemas.openxmlformats.org/officeDocument/2006/relationships/hyperlink" Target="https://crailo.com/lezen.html?b=R0287" TargetMode="External"/><Relationship Id="rId41" Type="http://schemas.openxmlformats.org/officeDocument/2006/relationships/hyperlink" Target="https://crailo.com/lezen.html?b=R0292" TargetMode="External"/><Relationship Id="rId42" Type="http://schemas.openxmlformats.org/officeDocument/2006/relationships/hyperlink" Target="https://crailo.com/lezen.html?b=R0296" TargetMode="External"/><Relationship Id="rId33" Type="http://schemas.openxmlformats.org/officeDocument/2006/relationships/hyperlink" Target="https://crailo.com/lezen.html?b=R0315" TargetMode="External"/><Relationship Id="rId34" Type="http://schemas.openxmlformats.org/officeDocument/2006/relationships/hyperlink" Target="https://crailo.com/lezen.html?b=R0317" TargetMode="External"/><Relationship Id="rId48" Type="http://schemas.openxmlformats.org/officeDocument/2006/relationships/hyperlink" Target="https://crailo.com/lezen.html?b=R0921" TargetMode="External"/><Relationship Id="rId32" Type="http://schemas.openxmlformats.org/officeDocument/2006/relationships/hyperlink" Target="https://crailo.com/lezen.html?b=R0928" TargetMode="External"/><Relationship Id="rId25" Type="http://schemas.openxmlformats.org/officeDocument/2006/relationships/hyperlink" Target="https://crailo.com/lezen.html?b=R0971" TargetMode="External"/><Relationship Id="rId26" Type="http://schemas.openxmlformats.org/officeDocument/2006/relationships/hyperlink" Target="https://crailo.com/lezen.html?b=R0981" TargetMode="External"/><Relationship Id="rId46" Type="http://schemas.openxmlformats.org/officeDocument/2006/relationships/hyperlink" Target="https://crailo.com/lezen.html?b=R10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Voorbeeldbrief 1: aan de gemeenteraad</dc:title>
  <dc:creator/>
  <dc:language>nl-NL</dc:language>
  <cp:keywords/>
  <dcterms:created xsi:type="dcterms:W3CDTF">2026-10-12T20:16:29Z</dcterms:created>
  <dcterms:modified xsi:type="dcterms:W3CDTF">2026-10-12T20:16:29Z</dcterms:modified>
  <cp:lastModifiedBy/>
  <dc:description/>
</cp:coreProperties>
</file>

<file path=docProps/custom.xml><?xml version="1.0" encoding="utf-8"?>
<Properties xmlns="http://schemas.openxmlformats.org/officeDocument/2006/custom-properties" xmlns:vt="http://schemas.openxmlformats.org/officeDocument/2006/docPropsVTypes"/>
</file>