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67" w:name="X784a4152f7ec39f3a5b988d624f1d561eaba290"/>
    <w:p>
      <w:pPr>
        <w:pStyle w:val="Heading1"/>
      </w:pPr>
      <w:r>
        <w:t>Voorbeeldnotitie 5: afspraken bij mogelijke opvang</w:t>
      </w:r>
    </w:p>
    <w:p>
      <w:pPr>
        <w:pStyle w:val="FirstParagraph"/>
      </w:pPr>
      <w:r>
        <w:rPr>
          <w:iCs/>
          <w:i/>
        </w:rPr>
        <w:t>Voorbeeldtekst op basis van openbare informatie. Pas deze aan je eigen situatie en standpunt aan. Voor formele stappen gelden de officiële publicatie en termijnen. Alle bronnen staan op crailo.info. Bedoeld voor wie de raad om afspraken wil vragen, voor raadsleden die een amendement overwegen en als bijlage bij de voorbeeldbrieven. De codes R1 tot en met R12 zijn onze eigen verwijzingen, niet de documentnummers van de bronnen.</w:t>
      </w:r>
    </w:p>
    <w:p>
      <w:pPr>
        <w:pStyle w:val="BodyText"/>
      </w:pPr>
      <w:r>
        <w:t>Als de raad de Visio-locatie toch aanwijst, kunnen bewoners vragen om duidelijke afspraken vooraf. Hieronder staan twaalf onderwerpen. Sommige komen uit bestaande regels of besluiten, andere zijn voorbeelden van afspraken elders of voorstellen voor Crailo. Het zijn voorgestelde afspraken waarover de gemeente moet beslissen en die zo nodig juridisch verankerd moeten worden; het zijn geen bestaande rechten. Wie voor deze locatie kiest, zou vooraf moeten weten wat die keuze kost en hoe de kosten worden gedekt.</w:t>
      </w:r>
    </w:p>
    <w:bookmarkStart w:id="20" w:name="overzicht"/>
    <w:p>
      <w:pPr>
        <w:pStyle w:val="Heading2"/>
      </w:pPr>
      <w:r>
        <w:t xml:space="preserve">Overzicht</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Nr</w:t>
            </w:r>
          </w:p>
        </w:tc>
        <w:tc>
          <w:tcPr/>
          <w:p>
            <w:pPr>
              <w:pStyle w:val="Compact"/>
              <w:jc w:val="left"/>
            </w:pPr>
            <w:r>
              <w:t xml:space="preserve">Voorwaarde</w:t>
            </w:r>
          </w:p>
        </w:tc>
        <w:tc>
          <w:tcPr/>
          <w:p>
            <w:pPr>
              <w:pStyle w:val="Compact"/>
              <w:jc w:val="left"/>
            </w:pPr>
            <w:r>
              <w:t xml:space="preserve">Soort</w:t>
            </w:r>
          </w:p>
        </w:tc>
      </w:tr>
      <w:tr>
        <w:tc>
          <w:tcPr/>
          <w:p>
            <w:pPr>
              <w:pStyle w:val="Compact"/>
              <w:jc w:val="left"/>
            </w:pPr>
            <w:r>
              <w:t xml:space="preserve">R1</w:t>
            </w:r>
          </w:p>
        </w:tc>
        <w:tc>
          <w:tcPr/>
          <w:p>
            <w:pPr>
              <w:pStyle w:val="Compact"/>
              <w:jc w:val="left"/>
            </w:pPr>
            <w:r>
              <w:t xml:space="preserve">Alleen bestaande gebouwen binnen het bouwvlak</w:t>
            </w:r>
          </w:p>
        </w:tc>
        <w:tc>
          <w:tcPr/>
          <w:p>
            <w:pPr>
              <w:pStyle w:val="Compact"/>
              <w:jc w:val="left"/>
            </w:pPr>
            <w:r>
              <w:t xml:space="preserve">hard</w:t>
            </w:r>
          </w:p>
        </w:tc>
      </w:tr>
      <w:tr>
        <w:tc>
          <w:tcPr/>
          <w:p>
            <w:pPr>
              <w:pStyle w:val="Compact"/>
              <w:jc w:val="left"/>
            </w:pPr>
            <w:r>
              <w:t xml:space="preserve">R2</w:t>
            </w:r>
          </w:p>
        </w:tc>
        <w:tc>
          <w:tcPr/>
          <w:p>
            <w:pPr>
              <w:pStyle w:val="Compact"/>
              <w:jc w:val="left"/>
            </w:pPr>
            <w:r>
              <w:t xml:space="preserve">Een maximum aantal plekken per locatie en een cumulatietoets</w:t>
            </w:r>
          </w:p>
        </w:tc>
        <w:tc>
          <w:tcPr/>
          <w:p>
            <w:pPr>
              <w:pStyle w:val="Compact"/>
              <w:jc w:val="left"/>
            </w:pPr>
            <w:r>
              <w:t xml:space="preserve">hard</w:t>
            </w:r>
          </w:p>
        </w:tc>
      </w:tr>
      <w:tr>
        <w:tc>
          <w:tcPr/>
          <w:p>
            <w:pPr>
              <w:pStyle w:val="Compact"/>
              <w:jc w:val="left"/>
            </w:pPr>
            <w:r>
              <w:t xml:space="preserve">R3</w:t>
            </w:r>
          </w:p>
        </w:tc>
        <w:tc>
          <w:tcPr/>
          <w:p>
            <w:pPr>
              <w:pStyle w:val="Compact"/>
              <w:jc w:val="left"/>
            </w:pPr>
            <w:r>
              <w:t xml:space="preserve">Doelgroep, aantal en duur vastgelegd als voorschrift</w:t>
            </w:r>
          </w:p>
        </w:tc>
        <w:tc>
          <w:tcPr/>
          <w:p>
            <w:pPr>
              <w:pStyle w:val="Compact"/>
              <w:jc w:val="left"/>
            </w:pPr>
            <w:r>
              <w:t xml:space="preserve">borging</w:t>
            </w:r>
          </w:p>
        </w:tc>
      </w:tr>
      <w:tr>
        <w:tc>
          <w:tcPr/>
          <w:p>
            <w:pPr>
              <w:pStyle w:val="Compact"/>
              <w:jc w:val="left"/>
            </w:pPr>
            <w:r>
              <w:t xml:space="preserve">R4</w:t>
            </w:r>
          </w:p>
        </w:tc>
        <w:tc>
          <w:tcPr/>
          <w:p>
            <w:pPr>
              <w:pStyle w:val="Compact"/>
              <w:jc w:val="left"/>
            </w:pPr>
            <w:r>
              <w:t>Een vaste einddatum en duidelijkheid over eventuele verlenging</w:t>
            </w:r>
          </w:p>
        </w:tc>
        <w:tc>
          <w:tcPr/>
          <w:p>
            <w:pPr>
              <w:pStyle w:val="Compact"/>
              <w:jc w:val="left"/>
            </w:pPr>
            <w:r>
              <w:t xml:space="preserve">hard</w:t>
            </w:r>
          </w:p>
        </w:tc>
      </w:tr>
      <w:tr>
        <w:tc>
          <w:tcPr/>
          <w:p>
            <w:pPr>
              <w:pStyle w:val="Compact"/>
              <w:jc w:val="left"/>
            </w:pPr>
            <w:r>
              <w:t xml:space="preserve">R5</w:t>
            </w:r>
          </w:p>
        </w:tc>
        <w:tc>
          <w:tcPr/>
          <w:p>
            <w:pPr>
              <w:pStyle w:val="Compact"/>
              <w:jc w:val="left"/>
            </w:pPr>
            <w:r>
              <w:t xml:space="preserve">Een leefbaarheids- en veiligheidsplan vóór de aanwijzing</w:t>
            </w:r>
          </w:p>
        </w:tc>
        <w:tc>
          <w:tcPr/>
          <w:p>
            <w:pPr>
              <w:pStyle w:val="Compact"/>
              <w:jc w:val="left"/>
            </w:pPr>
            <w:r>
              <w:t xml:space="preserve">borging</w:t>
            </w:r>
          </w:p>
        </w:tc>
      </w:tr>
      <w:tr>
        <w:tc>
          <w:tcPr/>
          <w:p>
            <w:pPr>
              <w:pStyle w:val="Compact"/>
              <w:jc w:val="left"/>
            </w:pPr>
            <w:r>
              <w:t xml:space="preserve">R6</w:t>
            </w:r>
          </w:p>
        </w:tc>
        <w:tc>
          <w:tcPr/>
          <w:p>
            <w:pPr>
              <w:pStyle w:val="Compact"/>
              <w:jc w:val="left"/>
            </w:pPr>
            <w:r>
              <w:t xml:space="preserve">Een beheergroep met omwonenden en een onafhankelijke monitor</w:t>
            </w:r>
          </w:p>
        </w:tc>
        <w:tc>
          <w:tcPr/>
          <w:p>
            <w:pPr>
              <w:pStyle w:val="Compact"/>
              <w:jc w:val="left"/>
            </w:pPr>
            <w:r>
              <w:t xml:space="preserve">borging</w:t>
            </w:r>
          </w:p>
        </w:tc>
      </w:tr>
      <w:tr>
        <w:tc>
          <w:tcPr/>
          <w:p>
            <w:pPr>
              <w:pStyle w:val="Compact"/>
              <w:jc w:val="left"/>
            </w:pPr>
            <w:r>
              <w:t xml:space="preserve">R7</w:t>
            </w:r>
          </w:p>
        </w:tc>
        <w:tc>
          <w:tcPr/>
          <w:p>
            <w:pPr>
              <w:pStyle w:val="Compact"/>
              <w:jc w:val="left"/>
            </w:pPr>
            <w:r>
              <w:t xml:space="preserve">Erfgoed eerst</w:t>
            </w:r>
          </w:p>
        </w:tc>
        <w:tc>
          <w:tcPr/>
          <w:p>
            <w:pPr>
              <w:pStyle w:val="Compact"/>
              <w:jc w:val="left"/>
            </w:pPr>
            <w:r>
              <w:t xml:space="preserve">hard</w:t>
            </w:r>
          </w:p>
        </w:tc>
      </w:tr>
      <w:tr>
        <w:tc>
          <w:tcPr/>
          <w:p>
            <w:pPr>
              <w:pStyle w:val="Compact"/>
              <w:jc w:val="left"/>
            </w:pPr>
            <w:r>
              <w:t xml:space="preserve">R8</w:t>
            </w:r>
          </w:p>
        </w:tc>
        <w:tc>
          <w:tcPr/>
          <w:p>
            <w:pPr>
              <w:pStyle w:val="Compact"/>
              <w:jc w:val="left"/>
            </w:pPr>
            <w:r>
              <w:t xml:space="preserve">Eerst de regionale uitruil en overbrugging verkennen</w:t>
            </w:r>
          </w:p>
        </w:tc>
        <w:tc>
          <w:tcPr/>
          <w:p>
            <w:pPr>
              <w:pStyle w:val="Compact"/>
              <w:jc w:val="left"/>
            </w:pPr>
            <w:r>
              <w:t xml:space="preserve">borging</w:t>
            </w:r>
          </w:p>
        </w:tc>
      </w:tr>
      <w:tr>
        <w:tc>
          <w:tcPr/>
          <w:p>
            <w:pPr>
              <w:pStyle w:val="Compact"/>
              <w:jc w:val="left"/>
            </w:pPr>
            <w:r>
              <w:t xml:space="preserve">R9</w:t>
            </w:r>
          </w:p>
        </w:tc>
        <w:tc>
          <w:tcPr/>
          <w:p>
            <w:pPr>
              <w:pStyle w:val="Compact"/>
              <w:jc w:val="left"/>
            </w:pPr>
            <w:r>
              <w:t xml:space="preserve">Participatie zoals de raad zelf heeft besloten</w:t>
            </w:r>
          </w:p>
        </w:tc>
        <w:tc>
          <w:tcPr/>
          <w:p>
            <w:pPr>
              <w:pStyle w:val="Compact"/>
              <w:jc w:val="left"/>
            </w:pPr>
            <w:r>
              <w:t xml:space="preserve">borging</w:t>
            </w:r>
          </w:p>
        </w:tc>
      </w:tr>
      <w:tr>
        <w:tc>
          <w:tcPr/>
          <w:p>
            <w:pPr>
              <w:pStyle w:val="Compact"/>
              <w:jc w:val="left"/>
            </w:pPr>
            <w:r>
              <w:t xml:space="preserve">R10</w:t>
            </w:r>
          </w:p>
        </w:tc>
        <w:tc>
          <w:tcPr/>
          <w:p>
            <w:pPr>
              <w:pStyle w:val="Compact"/>
              <w:jc w:val="left"/>
            </w:pPr>
            <w:r>
              <w:t>Extra toezicht in de woonstraten, vooraf uitgewerkt en gefinancierd</w:t>
            </w:r>
          </w:p>
        </w:tc>
        <w:tc>
          <w:tcPr/>
          <w:p>
            <w:pPr>
              <w:pStyle w:val="Compact"/>
              <w:jc w:val="left"/>
            </w:pPr>
            <w:r>
              <w:t xml:space="preserve">kosten</w:t>
            </w:r>
          </w:p>
        </w:tc>
      </w:tr>
      <w:tr>
        <w:tc>
          <w:tcPr/>
          <w:p>
            <w:pPr>
              <w:pStyle w:val="Compact"/>
              <w:jc w:val="left"/>
            </w:pPr>
            <w:r>
              <w:t xml:space="preserve">R11</w:t>
            </w:r>
          </w:p>
        </w:tc>
        <w:tc>
          <w:tcPr/>
          <w:p>
            <w:pPr>
              <w:pStyle w:val="Compact"/>
              <w:jc w:val="left"/>
            </w:pPr>
            <w:r>
              <w:t>Bijkomende kosten vooraf begroot en openbaar</w:t>
            </w:r>
          </w:p>
        </w:tc>
        <w:tc>
          <w:tcPr/>
          <w:p>
            <w:pPr>
              <w:pStyle w:val="Compact"/>
              <w:jc w:val="left"/>
            </w:pPr>
            <w:r>
              <w:t xml:space="preserve">kosten</w:t>
            </w:r>
          </w:p>
        </w:tc>
      </w:tr>
      <w:tr>
        <w:tc>
          <w:tcPr/>
          <w:p>
            <w:pPr>
              <w:pStyle w:val="Compact"/>
              <w:jc w:val="left"/>
            </w:pPr>
            <w:r>
              <w:t xml:space="preserve">R12</w:t>
            </w:r>
          </w:p>
        </w:tc>
        <w:tc>
          <w:tcPr/>
          <w:p>
            <w:pPr>
              <w:pStyle w:val="Compact"/>
              <w:jc w:val="left"/>
            </w:pPr>
            <w:r>
              <w:t>Een vastgelegde einddatum en duidelijkheid over verlenging, zoals de havenwijk kreeg</w:t>
            </w:r>
          </w:p>
        </w:tc>
        <w:tc>
          <w:tcPr/>
          <w:p>
            <w:pPr>
              <w:pStyle w:val="Compact"/>
              <w:jc w:val="left"/>
            </w:pPr>
            <w:r>
              <w:t>voorbeeld van elders</w:t>
            </w:r>
          </w:p>
        </w:tc>
      </w:tr>
    </w:tbl>
    <w:p>
      <w:pPr>
        <w:pStyle w:val="BodyText"/>
      </w:pPr>
      <w:r>
        <w:t>De afspraken R1, R2, R4 en R7 volgen uit bestaande regels of eerdere raadsbesluiten en beperken wat op het achterterrein mogelijk is. De overige afspraken gaan over borging, toezicht en kosten als de locatie toch wordt gebruikt.</w:t>
      </w:r>
    </w:p>
    <w:bookmarkEnd w:id="20"/>
    <w:bookmarkStart w:id="33" w:name="de-voorwaarden"/>
    <w:p>
      <w:pPr>
        <w:pStyle w:val="Heading2"/>
      </w:pPr>
      <w:r>
        <w:t xml:space="preserve">De voorwaarden</w:t>
      </w:r>
    </w:p>
    <w:bookmarkStart w:id="21" w:name="X5d1b29305f7fe146e4a1d503c20cdd1262c4690"/>
    <w:p>
      <w:pPr>
        <w:pStyle w:val="Heading3"/>
      </w:pPr>
      <w:r>
        <w:t xml:space="preserve">R1. Alleen bestaande gebouwen binnen het bouwvlak</w:t>
      </w:r>
    </w:p>
    <w:p>
      <w:pPr>
        <w:pStyle w:val="FirstParagraph"/>
      </w:pPr>
      <w:r>
        <w:rPr>
          <w:iCs/>
          <w:i/>
        </w:rPr>
        <w:t xml:space="preserve">Soort: harde voorwaarde.</w:t>
      </w:r>
    </w:p>
    <w:p>
      <w:pPr>
        <w:pStyle w:val="BodyText"/>
      </w:pPr>
      <w:r>
        <w:t xml:space="preserve">Geen opvang buiten het bouwvlak en niets in het provinciaal Beschermd landschap. Het bestemmingsplan laat buiten het bouwvlak geen gebouwen toe en de provinciale verordening verbiedt daar nieuwe bebouwing van meer dan 500 vierkante meter.</w:t>
      </w:r>
    </w:p>
    <w:p>
      <w:pPr>
        <w:pStyle w:val="BodyText"/>
      </w:pPr>
      <w:r>
        <w:rPr>
          <w:iCs/>
          <w:i/>
        </w:rPr>
        <w:t xml:space="preserve">Precedent of regel: Bestemmingsplan Buitenwijken art. 8.2; Omgevingsverordening NH2022 art. 6.59a.</w:t>
      </w:r>
    </w:p>
    <w:bookmarkEnd w:id="21"/>
    <w:bookmarkStart w:id="22" w:name="X4aefbefbd0c90a509c2d27e03058c796386251e"/>
    <w:p>
      <w:pPr>
        <w:pStyle w:val="Heading3"/>
      </w:pPr>
      <w:r>
        <w:t xml:space="preserve">R2. Een maximum aantal plekken per locatie en een cumulatietoets</w:t>
      </w:r>
    </w:p>
    <w:p>
      <w:pPr>
        <w:pStyle w:val="FirstParagraph"/>
      </w:pPr>
      <w:r>
        <w:rPr>
          <w:iCs/>
          <w:i/>
        </w:rPr>
        <w:t xml:space="preserve">Soort: harde voorwaarde.</w:t>
      </w:r>
    </w:p>
    <w:p>
      <w:pPr>
        <w:pStyle w:val="BodyText"/>
      </w:pPr>
      <w:r>
        <w:t xml:space="preserve">Een vast maximum per locatie (de fracties noemden 10, 50 en hooguit 100) en een toets op de optelsom met Tergooi (1,8 km) en Naarderweg (3,8 km). Het beleidskader van de gemeente vraagt zelf om spreiding over wijken.</w:t>
      </w:r>
    </w:p>
    <w:p>
      <w:pPr>
        <w:pStyle w:val="BodyText"/>
      </w:pPr>
      <w:r>
        <w:rPr>
          <w:iCs/>
          <w:i/>
        </w:rPr>
        <w:t xml:space="preserve">Precedent of regel: Beleidskader p. 6; Besluit Spreidingswet art. 3.1; verkiezingsprogramma’s.</w:t>
      </w:r>
    </w:p>
    <w:bookmarkEnd w:id="22"/>
    <w:bookmarkStart w:id="23" w:name="Xec16fbc96f656d5ea533348951b71e2f5fd5b90"/>
    <w:p>
      <w:pPr>
        <w:pStyle w:val="Heading3"/>
      </w:pPr>
      <w:r>
        <w:t xml:space="preserve">R3. Doelgroep, aantal en duur vastgelegd als voorschrift</w:t>
      </w:r>
    </w:p>
    <w:p>
      <w:pPr>
        <w:pStyle w:val="FirstParagraph"/>
      </w:pPr>
      <w:r>
        <w:rPr>
          <w:iCs/>
          <w:i/>
        </w:rPr>
        <w:t xml:space="preserve">Soort: borging.</w:t>
      </w:r>
    </w:p>
    <w:p>
      <w:pPr>
        <w:pStyle w:val="BodyText"/>
      </w:pPr>
      <w:r>
        <w:t xml:space="preserve">In de vergunning en in de bestuursovereenkomst met het COA. Geen wijziging van de doelgroep zonder nieuw raadsbesluit en nieuwe participatie. In Blaricum werd de doelgroep van Tergooi na de vergunning per rectificatie aangepast; Hilversum en Gooise Meren leggen de doelgroep wel vast.</w:t>
      </w:r>
    </w:p>
    <w:p>
      <w:pPr>
        <w:pStyle w:val="BodyText"/>
      </w:pPr>
      <w:r>
        <w:rPr>
          <w:iCs/>
          <w:i/>
        </w:rPr>
        <w:t xml:space="preserve">Precedent of regel: Rectificatie Tergooi 2-7-2026; Hilversum; Gooise Meren.</w:t>
      </w:r>
    </w:p>
    <w:bookmarkEnd w:id="23"/>
    <w:bookmarkStart w:id="24" w:name="Xb8bddc50bafc9072f705e5e90948f4988c07f74"/>
    <w:p>
      <w:pPr>
        <w:pStyle w:val="Heading3"/>
      </w:pPr>
      <w:r>
        <w:t>R4. Een vaste einddatum en duidelijkheid over eventuele verlenging</w:t>
      </w:r>
    </w:p>
    <w:p>
      <w:pPr>
        <w:pStyle w:val="FirstParagraph"/>
      </w:pPr>
      <w:r>
        <w:rPr>
          <w:iCs/>
          <w:i/>
        </w:rPr>
        <w:t xml:space="preserve">Soort: harde voorwaarde.</w:t>
      </w:r>
    </w:p>
    <w:p>
      <w:pPr>
        <w:pStyle w:val="BodyText"/>
      </w:pPr>
      <w:r>
        <w:t>Verlenging alleen bij een nieuw raadsbesluit. Bij verschillende tijdelijke opvanglocaties in de regio is de looptijd verlengd; de Omgevingswet kent geen maximumtermijn. De raad gaf de havenwijk in 2025 wel een harde einddatum.</w:t>
      </w:r>
      <w:r/>
      <w:r/>
      <w:r/>
      <w:r/>
      <w:r/>
      <w:r/>
    </w:p>
    <w:p>
      <w:pPr>
        <w:pStyle w:val="BodyText"/>
      </w:pPr>
      <w:r>
        <w:rPr>
          <w:iCs/>
          <w:i/>
        </w:rPr>
        <w:t xml:space="preserve">Precedent of regel: Raadsbesluit 10-7-2025 voorwaarde a; bestuursovereenkomst Lochem art. 4.</w:t>
      </w:r>
    </w:p>
    <w:bookmarkEnd w:id="24"/>
    <w:bookmarkStart w:id="25" w:name="Xf2018001d10f8ac7c924fd5ce06837ca9d83af3"/>
    <w:p>
      <w:pPr>
        <w:pStyle w:val="Heading3"/>
      </w:pPr>
      <w:r>
        <w:t xml:space="preserve">R5. Een leefbaarheids- en veiligheidsplan vóór de aanwijzing</w:t>
      </w:r>
    </w:p>
    <w:p>
      <w:pPr>
        <w:pStyle w:val="FirstParagraph"/>
      </w:pPr>
      <w:r>
        <w:rPr>
          <w:iCs/>
          <w:i/>
        </w:rPr>
        <w:t xml:space="preserve">Soort: borging.</w:t>
      </w:r>
    </w:p>
    <w:p>
      <w:pPr>
        <w:pStyle w:val="BodyText"/>
      </w:pPr>
      <w:r>
        <w:t>Met een risicoanalyse, een beheerplan, een goed bereikbaar meldpunt, wijkverbinders en toezicht in de openbare ruimte. Spreek vooraf af hoe dit wordt gefinancierd, bijvoorbeeld uit de reserve ontheemden of de Rijksuitkeringen; de kosten behoren niet zonder overleg bij bewoners terecht te komen.</w:t>
      </w:r>
    </w:p>
    <w:p>
      <w:pPr>
        <w:pStyle w:val="BodyText"/>
      </w:pPr>
      <w:r>
        <w:rPr>
          <w:iCs/>
          <w:i/>
        </w:rPr>
        <w:t xml:space="preserve">Precedent of regel: Werkhaven-trajectplan 2025; Lochem bijlage C; beleidskader p. 7.</w:t>
      </w:r>
    </w:p>
    <w:bookmarkEnd w:id="25"/>
    <w:bookmarkStart w:id="26" w:name="X84b79205fca9fdf3f5df4e3e1b7182fddc96599"/>
    <w:p>
      <w:pPr>
        <w:pStyle w:val="Heading3"/>
      </w:pPr>
      <w:r>
        <w:t xml:space="preserve">R6. Een beheergroep met omwonenden en een onafhankelijke monitor</w:t>
      </w:r>
    </w:p>
    <w:p>
      <w:pPr>
        <w:pStyle w:val="FirstParagraph"/>
      </w:pPr>
      <w:r>
        <w:rPr>
          <w:iCs/>
          <w:i/>
        </w:rPr>
        <w:t xml:space="preserve">Soort: borging.</w:t>
      </w:r>
    </w:p>
    <w:p>
      <w:pPr>
        <w:pStyle w:val="BodyText"/>
      </w:pPr>
      <w:r>
        <w:t>Omwonenden adviseren in plaats van alleen 'raadplegen', onder een onafhankelijke voorzitter. Een onafhankelijke leefbaarheidsmonitor en elk jaar een moment waarop de raad opnieuw weegt. Bij de afstemming over veiligheid kan ook een bestaande buurtorganisatie zoals Buurtpreventievereniging Craai betrokken worden; dat is een optie, geen al afgesproken samenwerking.</w:t>
      </w:r>
      <w:r/>
      <w:r/>
      <w:r/>
      <w:r/>
      <w:r/>
    </w:p>
    <w:p>
      <w:pPr>
        <w:pStyle w:val="BodyText"/>
      </w:pPr>
      <w:r>
        <w:rPr>
          <w:iCs/>
          <w:i/>
        </w:rPr>
        <w:t xml:space="preserve">Precedent of regel: Adviesgroep Werkhaven; Lochem bijlage C.</w:t>
      </w:r>
    </w:p>
    <w:bookmarkEnd w:id="26"/>
    <w:bookmarkStart w:id="27" w:name="r7.-erfgoed-eerst"/>
    <w:p>
      <w:pPr>
        <w:pStyle w:val="Heading3"/>
      </w:pPr>
      <w:r>
        <w:t xml:space="preserve">R7. Erfgoed eerst</w:t>
      </w:r>
    </w:p>
    <w:p>
      <w:pPr>
        <w:pStyle w:val="FirstParagraph"/>
      </w:pPr>
      <w:r>
        <w:rPr>
          <w:iCs/>
          <w:i/>
        </w:rPr>
        <w:t xml:space="preserve">Soort: harde voorwaarde.</w:t>
      </w:r>
    </w:p>
    <w:p>
      <w:pPr>
        <w:pStyle w:val="BodyText"/>
      </w:pPr>
      <w:r>
        <w:t xml:space="preserve">Geen aanwijzing voordat het erfgoedonderzoek uit motie M1 is afgerond en het college over voorbescherming heeft besloten. De raad besloot dit op 23 september 2026 unaniem.</w:t>
      </w:r>
    </w:p>
    <w:p>
      <w:pPr>
        <w:pStyle w:val="BodyText"/>
      </w:pPr>
      <w:r>
        <w:rPr>
          <w:iCs/>
          <w:i/>
        </w:rPr>
        <w:t xml:space="preserve">Precedent of regel: Motie M1 (27 stemmen voor, 0 tegen).</w:t>
      </w:r>
    </w:p>
    <w:bookmarkEnd w:id="27"/>
    <w:bookmarkStart w:id="28" w:name="X2197cffa488beb7d3ab382cfdb96eea8d9766f7"/>
    <w:p>
      <w:pPr>
        <w:pStyle w:val="Heading3"/>
      </w:pPr>
      <w:r>
        <w:t xml:space="preserve">R8. Eerst de regionale uitruil en overbrugging verkennen</w:t>
      </w:r>
    </w:p>
    <w:p>
      <w:pPr>
        <w:pStyle w:val="FirstParagraph"/>
      </w:pPr>
      <w:r>
        <w:rPr>
          <w:iCs/>
          <w:i/>
        </w:rPr>
        <w:t xml:space="preserve">Soort: borging.</w:t>
      </w:r>
    </w:p>
    <w:p>
      <w:pPr>
        <w:pStyle w:val="BodyText"/>
      </w:pPr>
      <w:r>
        <w:t xml:space="preserve">Vóór 1 december 2026 (de datum van het provinciaal verslag) brengt het college de uitwegen in bij de regionale regietafel en doet daarvan verslag aan de raad vóór 5 november.</w:t>
      </w:r>
    </w:p>
    <w:p>
      <w:pPr>
        <w:pStyle w:val="BodyText"/>
      </w:pPr>
      <w:r>
        <w:rPr>
          <w:iCs/>
          <w:i/>
        </w:rPr>
        <w:t>Precedent of regel: Vragen en antwoorden Spreidingswet; Governancekader Noord-Holland.</w:t>
      </w:r>
    </w:p>
    <w:bookmarkEnd w:id="28"/>
    <w:bookmarkStart w:id="29" w:name="X3f527f8fab4be1bce319dc09bc9c95c78f1b079"/>
    <w:p>
      <w:pPr>
        <w:pStyle w:val="Heading3"/>
      </w:pPr>
      <w:r>
        <w:t xml:space="preserve">R9. Participatie zoals de raad zelf heeft besloten</w:t>
      </w:r>
    </w:p>
    <w:p>
      <w:pPr>
        <w:pStyle w:val="FirstParagraph"/>
      </w:pPr>
      <w:r>
        <w:rPr>
          <w:iCs/>
          <w:i/>
        </w:rPr>
        <w:t xml:space="preserve">Soort: borging.</w:t>
      </w:r>
    </w:p>
    <w:p>
      <w:pPr>
        <w:pStyle w:val="BodyText"/>
      </w:pPr>
      <w:r>
        <w:t>Conform amendement A3 (meetbare acceptatie), met een informatiegebied dat de hele buurt dekt (Hilversum informeert de hele aangrenzende woonbuurt, Huizen alleen 250 meter) en, waar de raad dat heeft aangewezen, bindend adviesrecht van de raad bij de vergunning.</w:t>
      </w:r>
    </w:p>
    <w:p>
      <w:pPr>
        <w:pStyle w:val="BodyText"/>
      </w:pPr>
      <w:r>
        <w:rPr>
          <w:iCs/>
          <w:i/>
        </w:rPr>
        <w:t xml:space="preserve">Precedent of regel: Amendement A3 3-6-2026; bewonersbrieven Hilversum.</w:t>
      </w:r>
    </w:p>
    <w:bookmarkEnd w:id="29"/>
    <w:bookmarkStart w:id="30" w:name="X970c78ff4f38670611a76ab0757971a33912b47"/>
    <w:p>
      <w:pPr>
        <w:pStyle w:val="Heading3"/>
      </w:pPr>
      <w:r>
        <w:t>R10. Extra toezicht in de woonstraten, vooraf uitgewerkt en gefinancierd</w:t>
      </w:r>
    </w:p>
    <w:p>
      <w:pPr>
        <w:pStyle w:val="FirstParagraph"/>
      </w:pPr>
      <w:r>
        <w:rPr>
          <w:iCs/>
          <w:i/>
        </w:rPr>
        <w:t xml:space="preserve">Soort: kosten en beveiliging.</w:t>
      </w:r>
    </w:p>
    <w:p>
      <w:pPr>
        <w:pStyle w:val="BodyText"/>
      </w:pPr>
      <w:r>
        <w:t>Beveiliging op het terrein is niet hetzelfde als toezicht in de openbare ruimte. Vraag de gemeente met de politie te onderzoeken welke aanvullende maatregelen in de omliggende straten nodig en mogelijk zijn, zoals zichtbare aanwezigheid, wijkverbinders of mobiele surveillance, en vooraf afspraken te maken over inzet, bereikbaarheid, financiering en regelmatige evaluatie. De kosten behoren niet zonder overleg bij bewoners terecht te komen. Bij de Werkhaven betaalde Huizen wijkverbinders en beveiliging uit de reserve ontheemden; in Lochem regelt de bestuursovereenkomst met het COA de beveiliging van de locatie. De Rijksuitkeringen voor opvang zijn volgens het ministerie vrij besteedbaar, ook voor veiligheid in de wijk.</w:t>
      </w:r>
    </w:p>
    <w:p>
      <w:pPr>
        <w:pStyle w:val="BodyText"/>
      </w:pPr>
      <w:r>
        <w:rPr>
          <w:iCs/>
          <w:i/>
        </w:rPr>
        <w:t xml:space="preserve">Precedent of regel: Nieuwsbrief opvangschepen januari 2026; bestuursovereenkomst Lochem; Q&amp;A Spreidingswet p. 8.</w:t>
      </w:r>
    </w:p>
    <w:bookmarkEnd w:id="30"/>
    <w:bookmarkStart w:id="31" w:name="Xa0022399db18dc7694a93af89ac11ef3c489fdc"/>
    <w:p>
      <w:pPr>
        <w:pStyle w:val="Heading3"/>
      </w:pPr>
      <w:r>
        <w:t>R11. Bijkomende kosten vooraf begroot en openbaar</w:t>
      </w:r>
    </w:p>
    <w:p>
      <w:pPr>
        <w:pStyle w:val="FirstParagraph"/>
      </w:pPr>
      <w:r>
        <w:rPr>
          <w:iCs/>
          <w:i/>
        </w:rPr>
        <w:t xml:space="preserve">Soort: kosten en beveiliging.</w:t>
      </w:r>
    </w:p>
    <w:p>
      <w:pPr>
        <w:pStyle w:val="BodyText"/>
      </w:pPr>
      <w:r>
        <w:t>Extra handhaving, verkeersmaatregelen op de Amersfoortsestraatweg, een loket voor nadeelcompensatie en een leefbaarheidsfonds voor de buurt: vooraf begroot en openbaar, met de dekking erbij, zodat de raad weet wat de keuze voor deze locatie kost en wie wat betaalt. Cameratoezicht in de openbare ruimte is een afzonderlijk vraagstuk met eigen wettelijke voorwaarden; in Loosdrecht is het in oktober 2026 tijdelijk ingezet.</w:t>
      </w:r>
    </w:p>
    <w:p>
      <w:pPr>
        <w:pStyle w:val="BodyText"/>
      </w:pPr>
      <w:r>
        <w:rPr>
          <w:iCs/>
          <w:i/>
        </w:rPr>
        <w:t xml:space="preserve">Precedent of regel: Aanwijzingsbesluit cameratoezicht Wijdemeren 9-10-2026; Verordening nadeelcompensatie Huizen; Omgevingswet art. 15.1.</w:t>
      </w:r>
    </w:p>
    <w:bookmarkEnd w:id="31"/>
    <w:bookmarkStart w:id="32" w:name="Xea7cb5ab19789908c29a0105aa48fc032a1f731"/>
    <w:p>
      <w:pPr>
        <w:pStyle w:val="Heading3"/>
      </w:pPr>
      <w:r>
        <w:t>R12. Een vastgelegde einddatum en duidelijkheid over verlenging, zoals de havenwijk kreeg</w:t>
      </w:r>
    </w:p>
    <w:p>
      <w:pPr>
        <w:pStyle w:val="FirstParagraph"/>
      </w:pPr>
      <w:r>
        <w:rPr>
          <w:iCs/>
          <w:i/>
        </w:rPr>
        <w:t>Soort: voorbeeld van een afspraak elders.</w:t>
      </w:r>
    </w:p>
    <w:p>
      <w:pPr>
        <w:pStyle w:val="BodyText"/>
      </w:pPr>
      <w:r>
        <w:t>De raad besloot op 10 juli 2025 dat er na de opvangschepen geen enkele vorm van opvang meer in de havenwijk komt, en wees in oktober 2026 58 inwonersuggesties voor schepen op dat besluit af. Die afspraak is vergelijkingsmateriaal, geen automatisch recht voor Crailo. Wel kan de raad worden gevraagd om voor Crailo op dezelfde manier een einddatum vast te leggen en vooraf duidelijk te maken hoe een eventuele verlenging wordt beoordeeld.</w:t>
      </w:r>
    </w:p>
    <w:p>
      <w:pPr>
        <w:pStyle w:val="BodyText"/>
      </w:pPr>
      <w:r>
        <w:rPr>
          <w:iCs/>
          <w:i/>
        </w:rPr>
        <w:t xml:space="preserve">Precedent of regel: Raadsbesluit 10-7-2025 (amendement A1); rapportage kansrijke locaties.</w:t>
      </w:r>
    </w:p>
    <w:bookmarkEnd w:id="32"/>
    <w:bookmarkEnd w:id="33"/>
    <w:bookmarkStart w:id="34" w:name="het-kostenplaatje-voor-de-gemeente"/>
    <w:p>
      <w:pPr>
        <w:pStyle w:val="Heading2"/>
      </w:pPr>
      <w:r>
        <w:t xml:space="preserve">Het kostenplaatje voor de gemeente</w:t>
      </w:r>
    </w:p>
    <w:p>
      <w:pPr>
        <w:pStyle w:val="FirstParagraph"/>
      </w:pPr>
      <w:r>
        <w:t>Onderstaande posten zijn onze inschatting van wat de gemeente moet begroten als zij voor de Visio-locatie kiest. De bedragen komen uit openbare stukken van Huizen en andere gemeenten; waar geen bedrag bekend is, staat dat erbij. Dit is onze eigen inschatting, geen begroting van de gemeente.</w:t>
      </w:r>
    </w:p>
    <w:p>
      <w:pPr>
        <w:numPr>
          <w:ilvl w:val="0"/>
          <w:numId w:val="1001"/>
        </w:numPr>
        <w:pStyle w:val="Compact"/>
      </w:pPr>
      <w:r>
        <w:rPr>
          <w:bCs/>
          <w:b/>
        </w:rPr>
        <w:t xml:space="preserve">Wijkverbinders en beveiliging.</w:t>
      </w:r>
      <w:r>
        <w:t xml:space="preserve"> </w:t>
      </w:r>
      <w:r>
        <w:t>Bij de opvangschepen in de Werkhaven kostten twee wijkverbinders en beveiliging ongeveer 100.000 euro per zes maanden, betaald uit de gemeentelijke reserve ontheemden. De kosten voor Crailo hangen af van aard, duur en omvang van de gekozen maatregelen; daarvoor is een afzonderlijke begroting nodig.</w:t>
      </w:r>
      <w:r>
        <w:t xml:space="preserve"> </w:t>
      </w:r>
      <w:r>
        <w:rPr>
          <w:iCs/>
          <w:i/>
        </w:rPr>
        <w:t xml:space="preserve">(Nieuwsbrief opvangschepen, januari 2026)</w:t>
      </w:r>
    </w:p>
    <w:p>
      <w:pPr>
        <w:numPr>
          <w:ilvl w:val="0"/>
          <w:numId w:val="1001"/>
        </w:numPr>
        <w:pStyle w:val="Compact"/>
      </w:pPr>
      <w:r>
        <w:rPr>
          <w:bCs/>
          <w:b/>
        </w:rPr>
        <w:t>Extra toezicht in de woonstraten (R10). Een bedrag is nog niet bekend; dat hangt af van de maatregelen die na onderzoek nodig blijken, van de looptijd en van wie ze uitvoert. (Bestuursovereenkomst Lochem: beveiliging van de locatie als COA-afspraak)</w:t>
      </w:r>
      <w:r/>
      <w:r/>
      <w:r/>
      <w:r>
        <w:rPr>
          <w:iCs/>
          <w:i/>
        </w:rPr>
      </w:r>
    </w:p>
    <w:p>
      <w:pPr>
        <w:numPr>
          <w:ilvl w:val="0"/>
          <w:numId w:val="1001"/>
        </w:numPr>
        <w:pStyle w:val="Compact"/>
      </w:pPr>
      <w:r>
        <w:rPr>
          <w:bCs/>
          <w:b/>
        </w:rPr>
        <w:t>Cameratoezicht en handhaving. Cameratoezicht in de openbare ruimte kent eigen wettelijke voorwaarden en een aparte afweging door de burgemeester. In Loosdrecht stelde de burgemeester op 9 oktober 2026 tijdelijk cameratoezicht in bij de COA-locatie wegens ernstige wanordelijkheden. Zulke maatregelen kosten geld en capaciteit van politie en boa’s. (Aanwijzingsbesluit Wijdemeren)</w:t>
      </w:r>
      <w:r/>
      <w:r/>
      <w:r/>
      <w:r>
        <w:rPr>
          <w:iCs/>
          <w:i/>
        </w:rPr>
      </w:r>
    </w:p>
    <w:p>
      <w:pPr>
        <w:numPr>
          <w:ilvl w:val="0"/>
          <w:numId w:val="1001"/>
        </w:numPr>
        <w:pStyle w:val="Compact"/>
      </w:pPr>
      <w:r>
        <w:rPr>
          <w:bCs/>
          <w:b/>
        </w:rPr>
        <w:t xml:space="preserve">Verkeer en inrichting.</w:t>
      </w:r>
      <w:r>
        <w:t xml:space="preserve"> </w:t>
      </w:r>
      <w:r>
        <w:t xml:space="preserve">Aanpassingen aan de Amersfoortsestraatweg, parkeren, verlichting en looproutes; bij nieuwbouw op het achterterrein ook kap- en compensatiekosten (Bomenverordening 2025) en de kosten van een provinciale ontheffingsprocedure.</w:t>
      </w:r>
      <w:r>
        <w:t xml:space="preserve"> </w:t>
      </w:r>
      <w:r>
        <w:rPr>
          <w:iCs/>
          <w:i/>
        </w:rPr>
        <w:t xml:space="preserve">(Bomenverordening Huizen 2025; ontheffing Tolweg en Velsen)</w:t>
      </w:r>
    </w:p>
    <w:p>
      <w:pPr>
        <w:numPr>
          <w:ilvl w:val="0"/>
          <w:numId w:val="1001"/>
        </w:numPr>
        <w:pStyle w:val="Compact"/>
      </w:pPr>
      <w:r>
        <w:rPr>
          <w:bCs/>
          <w:b/>
        </w:rPr>
        <w:t xml:space="preserve">Nadeelcompensatie.</w:t>
      </w:r>
      <w:r>
        <w:t xml:space="preserve"> </w:t>
      </w:r>
      <w:r>
        <w:t xml:space="preserve">Eigenaren van woningen kunnen bij waardedaling door een besluit nadeelcompensatie aanvragen (Omgevingswet art. 15.1; Verordening nadeelcompensatie Huizen, aanvraagrecht 500 euro). Bij een grote opvang naast een woonbuurt is dat een reële post.</w:t>
      </w:r>
      <w:r>
        <w:t xml:space="preserve"> </w:t>
      </w:r>
      <w:r>
        <w:rPr>
          <w:iCs/>
          <w:i/>
        </w:rPr>
        <w:t xml:space="preserve">(Verordening nadeelcompensatie Huizen 2022)</w:t>
      </w:r>
    </w:p>
    <w:p>
      <w:pPr>
        <w:numPr>
          <w:ilvl w:val="0"/>
          <w:numId w:val="1001"/>
        </w:numPr>
        <w:pStyle w:val="Compact"/>
      </w:pPr>
      <w:r>
        <w:rPr>
          <w:bCs/>
          <w:b/>
        </w:rPr>
        <w:t xml:space="preserve">Participatie, beheer en monitoring.</w:t>
      </w:r>
      <w:r>
        <w:t xml:space="preserve"> </w:t>
      </w:r>
      <w:r>
        <w:t xml:space="preserve">Een beheergroep, een onafhankelijke leefbaarheidsmonitor, jaarlijkse evaluaties en een dagelijks bereikbaar meldpunt, zoals in Lochem en bij de Werkhaven afgesproken.</w:t>
      </w:r>
      <w:r>
        <w:t xml:space="preserve"> </w:t>
      </w:r>
      <w:r>
        <w:rPr>
          <w:iCs/>
          <w:i/>
        </w:rPr>
        <w:t xml:space="preserve">(Werkhaven-trajectplan; Lochem bijlage C)</w:t>
      </w:r>
    </w:p>
    <w:p>
      <w:pPr>
        <w:numPr>
          <w:ilvl w:val="0"/>
          <w:numId w:val="1001"/>
        </w:numPr>
        <w:pStyle w:val="Compact"/>
      </w:pPr>
      <w:r>
        <w:rPr>
          <w:bCs/>
          <w:b/>
        </w:rPr>
        <w:t xml:space="preserve">Dekking.</w:t>
      </w:r>
      <w:r>
        <w:t xml:space="preserve"> </w:t>
      </w:r>
      <w:r>
        <w:t>De Rijksuitkeringen voor opvang zijn vrij te besteden, ook voor leefbaarheid en veiligheid in de wijk. Huizen heeft daarnaast een reserve ontheemden. De vraag is hoe de gemeente deze kosten dekt en of zij daartoe bereid is; ze behoren niet zonder overleg bij bewoners terecht te komen.</w:t>
      </w:r>
      <w:r>
        <w:t xml:space="preserve"> </w:t>
      </w:r>
      <w:r>
        <w:rPr>
          <w:iCs/>
          <w:i/>
        </w:rPr>
        <w:t xml:space="preserve">(Q&amp;A Spreidingswet p. 8; Regeling uitkeringen)</w:t>
      </w:r>
    </w:p>
    <w:bookmarkEnd w:id="34"/>
    <w:bookmarkStart w:id="35" w:name="voorbeeldtekst-voor-een-amendement"/>
    <w:p>
      <w:pPr>
        <w:pStyle w:val="Heading2"/>
      </w:pPr>
      <w:r>
        <w:t xml:space="preserve">Voorbeeldtekst voor een amendement</w:t>
      </w:r>
    </w:p>
    <w:p>
      <w:pPr>
        <w:pStyle w:val="FirstParagraph"/>
      </w:pPr>
      <w:r>
        <w:t>Besluit: aan de aanwijzing van de locatie Amersfoortsestraatweg 180 (Visio) als kansrijke locatie worden de volgende voorwaarden verbonden: (1) uitsluitend bestaande gebouwen binnen het bouwvlak, geen opvang, units of parkeren buiten het bouwvlak of in Beschermd landschap; (2) een maximum van [..] opvangplaatsen per locatie en een cumulatietoets met de opvang in Tergooi en aan de Naarderweg; (3) doelgroep, aantal en duur als voorschrift in de omgevingsvergunning en de bestuursovereenkomst; (4) een vaste einddatum van [..] en een vooraf vastgelegde beoordeling van eventuele verlenging, verlenging uitsluitend bij nieuw raadsbesluit; (5) een leefbaarheids- en veiligheidsplan vóór de definitieve aanwijzing; (6) een beheergroep met omwonenden op het niveau adviseren en een onafhankelijke leefbaarheidsmonitor; (7) geen definitieve aanwijzing vóór afronding van het erfgoedonderzoek uit motie M1; (8) een verkenning van regionale uitruil en overbrugging aan de regietafel vóór 1 december 2026 met verslag aan de raad; (9) participatie conform amendement A3 met een informatiegebied dat de hele buurt Crailo dekt; (10) een vooraf uitgewerkt plan voor extra toezicht in de woonstraten van Crailo, met afspraken over inzet, bereikbaarheid, financiering en evaluatie; (11) de bijkomende kosten (handhaving, verkeersmaatregelen, nadeelcompensatie, leefbaarheidsfonds en eventueel cameratoezicht binnen de daarvoor geldende regels) vooraf begroot en openbaar, met vermelding van de dekking; (12) een vastgelegde einddatum en duidelijkheid over eventuele verlenging, op een vergelijkbare wijze als de raad op 10 juli 2025 voor de havenwijk heeft besloten.</w:t>
      </w:r>
    </w:p>
    <w:p>
      <w:r>
        <w:pict>
          <v:rect style="width:0;height:1.5pt" o:hralign="center" o:hrstd="t" o:hr="t"/>
        </w:pict>
      </w:r>
    </w:p>
    <w:bookmarkEnd w:id="35"/>
    <w:bookmarkStart w:id="66" w:name="Xde322b4071a84bb3474e758eec05f12362d157c"/>
    <w:p>
      <w:pPr>
        <w:pStyle w:val="Heading2"/>
      </w:pPr>
      <w:r>
        <w:t xml:space="preserve">Voetnoten: de regels en stukken die in deze tekst worden genoemd</w:t>
      </w:r>
    </w:p>
    <w:p>
      <w:pPr>
        <w:pStyle w:val="FirstParagraph"/>
      </w:pPr>
      <w:r>
        <w:rPr>
          <w:iCs/>
          <w:i/>
        </w:rPr>
        <w:t>Elke voetnoot legt in het kort uit wat de genoemde regel of het genoemde stuk inhoudt en verwijst naar het document op crailo.info, zodat je het zelf kunt nalezen, printen of meesturen. Dit zijn mogelijke invalshoeken op basis van de onderzochte stukken; eigen vragen en argumenten zijn altijd welkom.</w:t>
      </w:r>
    </w:p>
    <w:p>
      <w:pPr>
        <w:numPr>
          <w:ilvl w:val="0"/>
          <w:numId w:val="1002"/>
        </w:numPr>
        <w:pStyle w:val="Compact"/>
      </w:pPr>
      <w:r>
        <w:rPr>
          <w:bCs/>
          <w:b/>
        </w:rPr>
        <w:t xml:space="preserve">Bestemmingsplan Buitenwijken, artikel 8.2: het bouwvlak.</w:t>
      </w:r>
      <w:r>
        <w:t xml:space="preserve"> </w:t>
      </w:r>
      <w:r>
        <w:t xml:space="preserve">Het bestemmingsplan Buitenwijken (2013) geeft het Visio-terrein de bestemming Maatschappelijk met een bouwvlak. Artikel 8.2 bepaalt dat gebouwen alleen binnen dat bouwvlak mogen staan. Het achterterrein (ongeveer 38.600 vierkante meter) ligt buiten het bouwvlak; bebouwing daar vraagt dus om een afwijking van het plan. Bron:</w:t>
      </w:r>
      <w:r>
        <w:t xml:space="preserve"> </w:t>
      </w:r>
      <w:hyperlink r:id="rId36">
        <w:r>
          <w:rPr>
            <w:rStyle w:val="Hyperlink"/>
          </w:rPr>
          <w:t xml:space="preserve">R0137</w:t>
        </w:r>
      </w:hyperlink>
      <w:r>
        <w:t xml:space="preserve">,</w:t>
      </w:r>
      <w:r>
        <w:t xml:space="preserve"> </w:t>
      </w:r>
      <w:hyperlink r:id="rId37">
        <w:r>
          <w:rPr>
            <w:rStyle w:val="Hyperlink"/>
          </w:rPr>
          <w:t xml:space="preserve">R0046</w:t>
        </w:r>
      </w:hyperlink>
      <w:r>
        <w:t xml:space="preserve">.</w:t>
      </w:r>
    </w:p>
    <w:p>
      <w:pPr>
        <w:numPr>
          <w:ilvl w:val="0"/>
          <w:numId w:val="1002"/>
        </w:numPr>
        <w:pStyle w:val="Compact"/>
      </w:pPr>
      <w:r>
        <w:rPr>
          <w:bCs/>
          <w:b/>
        </w:rPr>
        <w:t xml:space="preserve">Provinciale regietafel en uitruil.</w:t>
      </w:r>
      <w:r>
        <w:t xml:space="preserve"> </w:t>
      </w:r>
      <w:r>
        <w:t xml:space="preserve">Aan de provinciale regietafel (onder leiding van de commissaris van de Koning) spreken gemeenten af wie welke plekken levert. Opgaven voor asiel, statushouders en Oekraïense ontheemden mogen onderling worden geruild; die afspraken komen in het provinciaal verslag en worden in het verdeelbesluit overgenomen. Voor de tweede cyclus moet de regionale inbreng van Gooi en Vechtstreek uiterlijk 11 november 2026 zijn ingediend en moet het provinciaal verslag vóór 1 december 2026 bij de minister liggen. Bron:</w:t>
      </w:r>
      <w:r>
        <w:t xml:space="preserve"> </w:t>
      </w:r>
      <w:hyperlink r:id="rId38">
        <w:r>
          <w:rPr>
            <w:rStyle w:val="Hyperlink"/>
          </w:rPr>
          <w:t xml:space="preserve">R0038</w:t>
        </w:r>
      </w:hyperlink>
      <w:r>
        <w:t xml:space="preserve">,</w:t>
      </w:r>
      <w:r>
        <w:t xml:space="preserve"> </w:t>
      </w:r>
      <w:hyperlink r:id="rId39">
        <w:r>
          <w:rPr>
            <w:rStyle w:val="Hyperlink"/>
          </w:rPr>
          <w:t xml:space="preserve">R0921</w:t>
        </w:r>
      </w:hyperlink>
      <w:r>
        <w:t xml:space="preserve">.</w:t>
      </w:r>
    </w:p>
    <w:p>
      <w:pPr>
        <w:numPr>
          <w:ilvl w:val="0"/>
          <w:numId w:val="1002"/>
        </w:numPr>
        <w:pStyle w:val="Compact"/>
      </w:pPr>
      <w:r>
        <w:rPr>
          <w:bCs/>
          <w:b/>
        </w:rPr>
        <w:t xml:space="preserve">Het raadsbesluit over de opvangschepen in de Werkhaven (10 juli 2025).</w:t>
      </w:r>
      <w:r>
        <w:t xml:space="preserve"> </w:t>
      </w:r>
      <w:r>
        <w:t xml:space="preserve">De raad stemde op 10 juli 2025 met 14 tegen 13 in met een derde winter opvang op schepen in de Werkhaven, via amendement A1 met als voorwaarde dat daarna geen enkele vorm van asielopvang meer plaatsvindt in de werkhaven of elders in die wijk. Het bijbehorende trajectplan regelde een adviesgroep van omwonenden en ondernemers met een onafhankelijke voorzitter, twee wijkverbinders en beveiliging in de avond, een meldpunt en een maandelijkse nieuwsbrief; de extra kosten bedroegen volgens de nieuwsbrief van januari 2026 ongeveer 100.000 euro per zes maanden, betaald door de gemeente. Bron:</w:t>
      </w:r>
      <w:r>
        <w:t xml:space="preserve"> </w:t>
      </w:r>
      <w:hyperlink r:id="rId40">
        <w:r>
          <w:rPr>
            <w:rStyle w:val="Hyperlink"/>
          </w:rPr>
          <w:t xml:space="preserve">R0292</w:t>
        </w:r>
      </w:hyperlink>
      <w:r>
        <w:t xml:space="preserve">,</w:t>
      </w:r>
      <w:r>
        <w:t xml:space="preserve"> </w:t>
      </w:r>
      <w:hyperlink r:id="rId41">
        <w:r>
          <w:rPr>
            <w:rStyle w:val="Hyperlink"/>
          </w:rPr>
          <w:t xml:space="preserve">R0296</w:t>
        </w:r>
      </w:hyperlink>
      <w:r>
        <w:t xml:space="preserve">.</w:t>
      </w:r>
    </w:p>
    <w:p>
      <w:pPr>
        <w:numPr>
          <w:ilvl w:val="0"/>
          <w:numId w:val="1002"/>
        </w:numPr>
        <w:pStyle w:val="Compact"/>
      </w:pPr>
      <w:r>
        <w:rPr>
          <w:bCs/>
          <w:b/>
        </w:rPr>
        <w:t xml:space="preserve">Omgevingsverordening NH2022, artikel 6.59a: Beschermd landschap.</w:t>
      </w:r>
      <w:r>
        <w:t xml:space="preserve"> </w:t>
      </w:r>
      <w:r>
        <w:t xml:space="preserve">In het provinciale werkingsgebied Beschermd landschap (Bijzonder provinciaal landschap) is nieuwe bebouwing van meer dan 500 vierkante meter voor stedelijke functies verboden. Gedeputeerde Staten kunnen alleen een ontheffing verlenen als er geen reële alternatieven zijn en de kernkwaliteiten van het landschap niet onaanvaardbaar worden aangetast. Volgens onze berekening op basis van de provinciale kaartlagen ligt 93 procent van het achterterrein van de Visio-locatie in dit gebied. Bij Uitgeest (Tolweg, 2025) en Velsen (2026) verleende de provincie zulke ontheffingen voor asielopvang; die besluiten laten zien welke onderbouwing de provincie dan vraagt. Bron:</w:t>
      </w:r>
      <w:r>
        <w:t xml:space="preserve"> </w:t>
      </w:r>
      <w:hyperlink r:id="rId42">
        <w:r>
          <w:rPr>
            <w:rStyle w:val="Hyperlink"/>
          </w:rPr>
          <w:t xml:space="preserve">R0053</w:t>
        </w:r>
      </w:hyperlink>
      <w:r>
        <w:t xml:space="preserve">,</w:t>
      </w:r>
      <w:r>
        <w:t xml:space="preserve"> </w:t>
      </w:r>
      <w:hyperlink r:id="rId43">
        <w:r>
          <w:rPr>
            <w:rStyle w:val="Hyperlink"/>
          </w:rPr>
          <w:t xml:space="preserve">R0048</w:t>
        </w:r>
      </w:hyperlink>
      <w:r>
        <w:t xml:space="preserve">,</w:t>
      </w:r>
      <w:r>
        <w:t xml:space="preserve"> </w:t>
      </w:r>
      <w:hyperlink r:id="rId37">
        <w:r>
          <w:rPr>
            <w:rStyle w:val="Hyperlink"/>
          </w:rPr>
          <w:t xml:space="preserve">R0046</w:t>
        </w:r>
      </w:hyperlink>
      <w:r>
        <w:t xml:space="preserve">,</w:t>
      </w:r>
      <w:r>
        <w:t xml:space="preserve"> </w:t>
      </w:r>
      <w:hyperlink r:id="rId44">
        <w:r>
          <w:rPr>
            <w:rStyle w:val="Hyperlink"/>
          </w:rPr>
          <w:t xml:space="preserve">R0058</w:t>
        </w:r>
      </w:hyperlink>
      <w:r>
        <w:t xml:space="preserve">,</w:t>
      </w:r>
      <w:r>
        <w:t xml:space="preserve"> </w:t>
      </w:r>
      <w:hyperlink r:id="rId45">
        <w:r>
          <w:rPr>
            <w:rStyle w:val="Hyperlink"/>
          </w:rPr>
          <w:t xml:space="preserve">R0124</w:t>
        </w:r>
      </w:hyperlink>
      <w:r>
        <w:t xml:space="preserve">.</w:t>
      </w:r>
    </w:p>
    <w:p>
      <w:pPr>
        <w:numPr>
          <w:ilvl w:val="0"/>
          <w:numId w:val="1002"/>
        </w:numPr>
        <w:pStyle w:val="Compact"/>
      </w:pPr>
      <w:r>
        <w:rPr>
          <w:bCs/>
          <w:b/>
        </w:rPr>
        <w:t xml:space="preserve">Het beleidskader opvang vluchtelingen (bijlage 1 bij het raadsvoorstel).</w:t>
      </w:r>
      <w:r>
        <w:t xml:space="preserve"> </w:t>
      </w:r>
      <w:r>
        <w:t xml:space="preserve">Het beleidskader dat de raad op 5 november 2026 vaststelt, noemt als uitgangspunten onder meer geen grootschalige opvanglocaties, voldoende draagvlak in de directe omgeving, een goede balans tussen voorzieningen en leefbaarheid in wijken en</w:t>
      </w:r>
      <w:r>
        <w:t xml:space="preserve"> </w:t>
      </w:r>
      <w:r>
        <w:t xml:space="preserve">‘</w:t>
      </w:r>
      <w:r>
        <w:t xml:space="preserve">evenwichtige spreiding</w:t>
      </w:r>
      <w:r>
        <w:t xml:space="preserve">’</w:t>
      </w:r>
      <w:r>
        <w:t xml:space="preserve"> </w:t>
      </w:r>
      <w:r>
        <w:t xml:space="preserve">zonder onevenredige belasting van één plek. De Visio-locatie is de enige locatie op de lijst met meer dan 200 plekken. Bron:</w:t>
      </w:r>
      <w:r>
        <w:t xml:space="preserve"> </w:t>
      </w:r>
      <w:hyperlink r:id="rId46">
        <w:r>
          <w:rPr>
            <w:rStyle w:val="Hyperlink"/>
          </w:rPr>
          <w:t xml:space="preserve">R0278</w:t>
        </w:r>
      </w:hyperlink>
      <w:r>
        <w:t xml:space="preserve">,</w:t>
      </w:r>
      <w:r>
        <w:t xml:space="preserve"> </w:t>
      </w:r>
      <w:hyperlink r:id="rId47">
        <w:r>
          <w:rPr>
            <w:rStyle w:val="Hyperlink"/>
          </w:rPr>
          <w:t xml:space="preserve">R0287</w:t>
        </w:r>
      </w:hyperlink>
      <w:r>
        <w:t xml:space="preserve">,</w:t>
      </w:r>
      <w:r>
        <w:t xml:space="preserve"> </w:t>
      </w:r>
      <w:hyperlink r:id="rId48">
        <w:r>
          <w:rPr>
            <w:rStyle w:val="Hyperlink"/>
          </w:rPr>
          <w:t xml:space="preserve">R0279</w:t>
        </w:r>
      </w:hyperlink>
      <w:r>
        <w:t xml:space="preserve">.</w:t>
      </w:r>
    </w:p>
    <w:p>
      <w:pPr>
        <w:numPr>
          <w:ilvl w:val="0"/>
          <w:numId w:val="1002"/>
        </w:numPr>
        <w:pStyle w:val="Compact"/>
      </w:pPr>
      <w:r>
        <w:rPr>
          <w:bCs/>
          <w:b/>
        </w:rPr>
        <w:t xml:space="preserve">Spreidingswet, indicatieve verdeling en verdeelbesluit.</w:t>
      </w:r>
      <w:r>
        <w:t xml:space="preserve"> </w:t>
      </w:r>
      <w:r>
        <w:t xml:space="preserve">De Spreidingswet (officieel: Wet gemeentelijke taak mogelijk maken asielopvangvoorzieningen, Staatsblad 2024, 12, in werking sinds 1 februari 2024) werkt in cycli van twee jaar. De minister publiceert eerst een capaciteitsraming met een indicatieve verdeling per gemeente (voor 2026: Huizen 216 plekken, waarvan 14 voor alleenstaande minderjarigen, Staatscourant 2026, 9053). Die indicatie is nog geen taak. Pas het verdeelbesluit van de minister (voor de lopende cyclus december 2024: Huizen 200 plekken) schept een wettelijke taak; het volgende verdeelbesluit wordt in december 2026 verwacht. De wet wijst aantallen plekken aan, geen adressen of locaties. Bron:</w:t>
      </w:r>
      <w:r>
        <w:t xml:space="preserve"> </w:t>
      </w:r>
      <w:hyperlink r:id="rId49">
        <w:r>
          <w:rPr>
            <w:rStyle w:val="Hyperlink"/>
          </w:rPr>
          <w:t xml:space="preserve">R0014</w:t>
        </w:r>
      </w:hyperlink>
      <w:r>
        <w:t xml:space="preserve">,</w:t>
      </w:r>
      <w:r>
        <w:t xml:space="preserve"> </w:t>
      </w:r>
      <w:hyperlink r:id="rId50">
        <w:r>
          <w:rPr>
            <w:rStyle w:val="Hyperlink"/>
          </w:rPr>
          <w:t xml:space="preserve">R0029</w:t>
        </w:r>
      </w:hyperlink>
      <w:r>
        <w:t xml:space="preserve">,</w:t>
      </w:r>
      <w:r>
        <w:t xml:space="preserve"> </w:t>
      </w:r>
      <w:hyperlink r:id="rId51">
        <w:r>
          <w:rPr>
            <w:rStyle w:val="Hyperlink"/>
          </w:rPr>
          <w:t xml:space="preserve">R0021</w:t>
        </w:r>
      </w:hyperlink>
      <w:r>
        <w:t xml:space="preserve">,</w:t>
      </w:r>
      <w:r>
        <w:t xml:space="preserve"> </w:t>
      </w:r>
      <w:hyperlink r:id="rId38">
        <w:r>
          <w:rPr>
            <w:rStyle w:val="Hyperlink"/>
          </w:rPr>
          <w:t xml:space="preserve">R0038</w:t>
        </w:r>
      </w:hyperlink>
      <w:r>
        <w:t xml:space="preserve">.</w:t>
      </w:r>
    </w:p>
    <w:p>
      <w:pPr>
        <w:numPr>
          <w:ilvl w:val="0"/>
          <w:numId w:val="1002"/>
        </w:numPr>
        <w:pStyle w:val="Compact"/>
      </w:pPr>
      <w:r>
        <w:rPr>
          <w:bCs/>
          <w:b/>
        </w:rPr>
        <w:t xml:space="preserve">Het COA.</w:t>
      </w:r>
      <w:r>
        <w:t xml:space="preserve"> </w:t>
      </w:r>
      <w:r>
        <w:t xml:space="preserve">Het Centraal Orgaan opvang asielzoekers (COA) is de rijksorganisatie die asielzoekers opvangt en begeleidt. Een gemeente stelt een locatie beschikbaar; het COA exploiteert de opvang en legt de afspraken met de gemeente vast in een bestuursovereenkomst. Onder de Spreidingswet tellen alleen COA-plekken mee voor de gemeentelijke opgave. Bron:</w:t>
      </w:r>
      <w:r>
        <w:t xml:space="preserve"> </w:t>
      </w:r>
      <w:hyperlink r:id="rId38">
        <w:r>
          <w:rPr>
            <w:rStyle w:val="Hyperlink"/>
          </w:rPr>
          <w:t xml:space="preserve">R0038</w:t>
        </w:r>
      </w:hyperlink>
      <w:r>
        <w:t xml:space="preserve">,</w:t>
      </w:r>
      <w:r>
        <w:t xml:space="preserve"> </w:t>
      </w:r>
      <w:hyperlink r:id="rId49">
        <w:r>
          <w:rPr>
            <w:rStyle w:val="Hyperlink"/>
          </w:rPr>
          <w:t xml:space="preserve">R0014</w:t>
        </w:r>
      </w:hyperlink>
      <w:r>
        <w:t xml:space="preserve">.</w:t>
      </w:r>
    </w:p>
    <w:p>
      <w:pPr>
        <w:numPr>
          <w:ilvl w:val="0"/>
          <w:numId w:val="1002"/>
        </w:numPr>
        <w:pStyle w:val="Compact"/>
      </w:pPr>
      <w:r>
        <w:rPr>
          <w:bCs/>
          <w:b/>
        </w:rPr>
        <w:t xml:space="preserve">Participatie: wat de wet en de eigen regels van Huizen vragen.</w:t>
      </w:r>
      <w:r>
        <w:t xml:space="preserve"> </w:t>
      </w:r>
      <w:r>
        <w:t xml:space="preserve">De Omgevingswet (artikel 16.55) vraagt bij een vergunningaanvraag om aan te geven of en hoe omwonenden zijn betrokken; de raad kan gevallen aanwijzen waarin participatie verplicht is, maar Huizen heeft zo’n lijst niet vastgesteld. Voor het locatiebesluit zelf gelden de eigen regels van de gemeente: de Inspraak- en participatieverordening 2010 (onder meer artikel 7 lid 2: voldoende tijd en informatie voor een goede voorbereiding, en artikel 8: een verslag van elke bijeenkomst), het participatiebeleid</w:t>
      </w:r>
      <w:r>
        <w:t xml:space="preserve"> </w:t>
      </w:r>
      <w:r>
        <w:t xml:space="preserve">‘</w:t>
      </w:r>
      <w:r>
        <w:t xml:space="preserve">Wij maken Huizen</w:t>
      </w:r>
      <w:r>
        <w:t xml:space="preserve">’</w:t>
      </w:r>
      <w:r>
        <w:t xml:space="preserve"> </w:t>
      </w:r>
      <w:r>
        <w:t xml:space="preserve">(2022) en het participatieplan bij het raadsvoorstel (7 oktober 2026). Een landelijke termijn of afstand voor het informeren van omwonenden bestaat niet. Bron:</w:t>
      </w:r>
      <w:r>
        <w:t xml:space="preserve"> </w:t>
      </w:r>
      <w:hyperlink r:id="rId52">
        <w:r>
          <w:rPr>
            <w:rStyle w:val="Hyperlink"/>
          </w:rPr>
          <w:t xml:space="preserve">R0035</w:t>
        </w:r>
      </w:hyperlink>
      <w:r>
        <w:t xml:space="preserve">,</w:t>
      </w:r>
      <w:r>
        <w:t xml:space="preserve"> </w:t>
      </w:r>
      <w:hyperlink r:id="rId53">
        <w:r>
          <w:rPr>
            <w:rStyle w:val="Hyperlink"/>
          </w:rPr>
          <w:t xml:space="preserve">R0193</w:t>
        </w:r>
      </w:hyperlink>
      <w:r>
        <w:t xml:space="preserve">,</w:t>
      </w:r>
      <w:r>
        <w:t xml:space="preserve"> </w:t>
      </w:r>
      <w:hyperlink r:id="rId54">
        <w:r>
          <w:rPr>
            <w:rStyle w:val="Hyperlink"/>
          </w:rPr>
          <w:t xml:space="preserve">R0187</w:t>
        </w:r>
      </w:hyperlink>
      <w:r>
        <w:t xml:space="preserve">,</w:t>
      </w:r>
      <w:r>
        <w:t xml:space="preserve"> </w:t>
      </w:r>
      <w:hyperlink r:id="rId55">
        <w:r>
          <w:rPr>
            <w:rStyle w:val="Hyperlink"/>
          </w:rPr>
          <w:t xml:space="preserve">R1062</w:t>
        </w:r>
      </w:hyperlink>
      <w:r>
        <w:t xml:space="preserve">,</w:t>
      </w:r>
      <w:r>
        <w:t xml:space="preserve"> </w:t>
      </w:r>
      <w:hyperlink r:id="rId56">
        <w:r>
          <w:rPr>
            <w:rStyle w:val="Hyperlink"/>
          </w:rPr>
          <w:t xml:space="preserve">R0281</w:t>
        </w:r>
      </w:hyperlink>
      <w:r>
        <w:t xml:space="preserve">.</w:t>
      </w:r>
    </w:p>
    <w:p>
      <w:pPr>
        <w:numPr>
          <w:ilvl w:val="0"/>
          <w:numId w:val="1002"/>
        </w:numPr>
        <w:pStyle w:val="Compact"/>
      </w:pPr>
      <w:r>
        <w:rPr>
          <w:bCs/>
          <w:b/>
        </w:rPr>
        <w:t xml:space="preserve">Hoe Hilversum het aanpakte.</w:t>
      </w:r>
      <w:r>
        <w:t xml:space="preserve"> </w:t>
      </w:r>
      <w:r>
        <w:t xml:space="preserve">Hilversum wees in 2026 twee locaties aan (Naarderweg, 120 plekken voor 30 jaar, en Noordse Bosje, 70 plekken). De gemeente informeerde per locatie een getekend gebied van direct omwonenden, tot ongeveer 500 à 700 meter, nodigde hen uit voor besloten bijeenkomsten, publiceerde direct een concept veiligheids- en leefbaarheidsplan en neemt het definitieve besluit pas na een bestuursovereenkomst met het COA waarin de inbreng van de buurt is verwerkt. Bron:</w:t>
      </w:r>
      <w:r>
        <w:t xml:space="preserve"> </w:t>
      </w:r>
      <w:hyperlink r:id="rId57">
        <w:r>
          <w:rPr>
            <w:rStyle w:val="Hyperlink"/>
          </w:rPr>
          <w:t xml:space="preserve">R0928</w:t>
        </w:r>
      </w:hyperlink>
      <w:r>
        <w:t xml:space="preserve">,</w:t>
      </w:r>
      <w:r>
        <w:t xml:space="preserve"> </w:t>
      </w:r>
      <w:hyperlink r:id="rId58">
        <w:r>
          <w:rPr>
            <w:rStyle w:val="Hyperlink"/>
          </w:rPr>
          <w:t xml:space="preserve">R0315</w:t>
        </w:r>
      </w:hyperlink>
      <w:r>
        <w:t xml:space="preserve">,</w:t>
      </w:r>
      <w:r>
        <w:t xml:space="preserve"> </w:t>
      </w:r>
      <w:hyperlink r:id="rId59">
        <w:r>
          <w:rPr>
            <w:rStyle w:val="Hyperlink"/>
          </w:rPr>
          <w:t xml:space="preserve">R0317</w:t>
        </w:r>
      </w:hyperlink>
      <w:r>
        <w:t xml:space="preserve">.</w:t>
      </w:r>
    </w:p>
    <w:p>
      <w:pPr>
        <w:numPr>
          <w:ilvl w:val="0"/>
          <w:numId w:val="1002"/>
        </w:numPr>
        <w:pStyle w:val="Compact"/>
      </w:pPr>
      <w:r>
        <w:rPr>
          <w:bCs/>
          <w:b/>
        </w:rPr>
        <w:t xml:space="preserve">De bestuursovereenkomst van Lochem met het COA (2 september 2025).</w:t>
      </w:r>
      <w:r>
        <w:t xml:space="preserve"> </w:t>
      </w:r>
      <w:r>
        <w:t xml:space="preserve">Lochem legde voor een locatie van 250 plaatsen voor vijftien jaar in de overeenkomst met het COA vast wat er voor de omgeving geregeld wordt: een beheergroep met omwonenden, een omwonendenoverleg, een onafhankelijke monitor, een meldpunt en beveiliging die dag en nacht bereikbaar zijn (bijlage C). Het is een voorbeeld van afspraken die een gemeente vóór de start kan vastleggen. Bron:</w:t>
      </w:r>
      <w:r>
        <w:t xml:space="preserve"> </w:t>
      </w:r>
      <w:hyperlink r:id="rId60">
        <w:r>
          <w:rPr>
            <w:rStyle w:val="Hyperlink"/>
          </w:rPr>
          <w:t xml:space="preserve">R0108</w:t>
        </w:r>
      </w:hyperlink>
      <w:r>
        <w:t xml:space="preserve">.</w:t>
      </w:r>
    </w:p>
    <w:p>
      <w:pPr>
        <w:numPr>
          <w:ilvl w:val="0"/>
          <w:numId w:val="1002"/>
        </w:numPr>
        <w:pStyle w:val="Compact"/>
      </w:pPr>
      <w:r>
        <w:rPr>
          <w:bCs/>
          <w:b/>
        </w:rPr>
        <w:t xml:space="preserve">Motie M1 (23 september 2026) en de erfgoedregels.</w:t>
      </w:r>
      <w:r>
        <w:t xml:space="preserve"> </w:t>
      </w:r>
      <w:r>
        <w:t xml:space="preserve">De raad nam op 23 september 2026 unaniem motie M1 aan: het college onderzoekt de monumentale en cultuurhistorische waarde van het voormalige blindeninstituut (Amersfoortsestraatweg 180) en past in afwachting daarvan voorbescherming toe conform het advies van de Commissie Ruimtelijke Kwaliteit; de uitkomst komt uiterlijk 3 februari 2027. De gemeentelijke erfgoedregels staan in de Verordening Fysieke Leefomgeving Huizen 2022. Bron:</w:t>
      </w:r>
      <w:r>
        <w:t xml:space="preserve"> </w:t>
      </w:r>
      <w:hyperlink r:id="rId61">
        <w:r>
          <w:rPr>
            <w:rStyle w:val="Hyperlink"/>
          </w:rPr>
          <w:t xml:space="preserve">R0981</w:t>
        </w:r>
      </w:hyperlink>
      <w:r>
        <w:t xml:space="preserve">,</w:t>
      </w:r>
      <w:r>
        <w:t xml:space="preserve"> </w:t>
      </w:r>
      <w:hyperlink r:id="rId62">
        <w:r>
          <w:rPr>
            <w:rStyle w:val="Hyperlink"/>
          </w:rPr>
          <w:t xml:space="preserve">R0045</w:t>
        </w:r>
      </w:hyperlink>
      <w:r>
        <w:t xml:space="preserve">.</w:t>
      </w:r>
    </w:p>
    <w:p>
      <w:pPr>
        <w:numPr>
          <w:ilvl w:val="0"/>
          <w:numId w:val="1002"/>
        </w:numPr>
        <w:pStyle w:val="Compact"/>
      </w:pPr>
      <w:r>
        <w:rPr>
          <w:bCs/>
          <w:b/>
        </w:rPr>
        <w:t xml:space="preserve">Amendement A3 (raad 3 juni 2026).</w:t>
      </w:r>
      <w:r>
        <w:t xml:space="preserve"> </w:t>
      </w:r>
      <w:r>
        <w:t xml:space="preserve">Met amendement A3, aangenomen met 24 stemmen voor en 1 tegen, legde de raad vast dat (direct) omwonenden van kansrijke locaties actief worden betrokken in een intensief participatietraject onder begeleiding van een extern onafhankelijk bureau, en dat de uitkomst wordt vastgelegd in een participatieverslag met een meetbare beschrijving van de verkregen acceptatie en concrete afspraken over veiligheid, communicatie, toezicht en evaluatie. Bron:</w:t>
      </w:r>
      <w:r>
        <w:t xml:space="preserve"> </w:t>
      </w:r>
      <w:hyperlink r:id="rId63">
        <w:r>
          <w:rPr>
            <w:rStyle w:val="Hyperlink"/>
          </w:rPr>
          <w:t xml:space="preserve">R0971</w:t>
        </w:r>
      </w:hyperlink>
      <w:r>
        <w:t xml:space="preserve">.</w:t>
      </w:r>
    </w:p>
    <w:p>
      <w:pPr>
        <w:numPr>
          <w:ilvl w:val="0"/>
          <w:numId w:val="1002"/>
        </w:numPr>
        <w:pStyle w:val="Compact"/>
      </w:pPr>
      <w:r>
        <w:rPr>
          <w:bCs/>
          <w:b/>
        </w:rPr>
        <w:t xml:space="preserve">Omgevingswet, artikel 16.15a: bindend adviesrecht van de raad.</w:t>
      </w:r>
      <w:r>
        <w:t xml:space="preserve"> </w:t>
      </w:r>
      <w:r>
        <w:t xml:space="preserve">De gemeenteraad kan gevallen aanwijzen waarin het college een buitenplanse omgevingsvergunning alleen mag verlenen na een bindend advies van de raad. De raad van Huizen heeft zo’n lijst vastgesteld op 20 december 2021. Of een opvanglocatie onder die lijst valt, bepaalt of de raad bij de vergunning nog een beslissend woord heeft. Bron:</w:t>
      </w:r>
      <w:r>
        <w:t xml:space="preserve"> </w:t>
      </w:r>
      <w:hyperlink r:id="rId52">
        <w:r>
          <w:rPr>
            <w:rStyle w:val="Hyperlink"/>
          </w:rPr>
          <w:t xml:space="preserve">R0035</w:t>
        </w:r>
      </w:hyperlink>
      <w:r>
        <w:t xml:space="preserve">,</w:t>
      </w:r>
      <w:r>
        <w:t xml:space="preserve"> </w:t>
      </w:r>
      <w:hyperlink r:id="rId53">
        <w:r>
          <w:rPr>
            <w:rStyle w:val="Hyperlink"/>
          </w:rPr>
          <w:t xml:space="preserve">R0193</w:t>
        </w:r>
      </w:hyperlink>
      <w:r>
        <w:t xml:space="preserve">.</w:t>
      </w:r>
    </w:p>
    <w:p>
      <w:pPr>
        <w:numPr>
          <w:ilvl w:val="0"/>
          <w:numId w:val="1002"/>
        </w:numPr>
        <w:pStyle w:val="Compact"/>
      </w:pPr>
      <w:r>
        <w:rPr>
          <w:bCs/>
          <w:b/>
        </w:rPr>
        <w:t xml:space="preserve">Nadeelcompensatie (Omgevingswet, afdeling 15.1).</w:t>
      </w:r>
      <w:r>
        <w:t xml:space="preserve"> </w:t>
      </w:r>
      <w:r>
        <w:t>Wie schade lijdt door een besluit, bijvoorbeeld waardedaling van een woning door een omgevingsvergunning, kan nadeelcompensatie aanvragen. In bepaalde gevallen kan nadeelcompensatie worden aangevraagd; een deel van de schade blijft voor eigen rekening als normaal maatschappelijk risico. Voor indirecte waardedaling van onroerend goed geldt doorgaans een wettelijk eigen risico van 4 procent van de waarde; het is geen automatische vergoeding van waardedaling. De aanvraag kan pas na het besluit; in Huizen geldt een aanvraagrecht van 500 euro (Verordening nadeelcompensatie 2022). Bron:</w:t>
      </w:r>
      <w:r>
        <w:t xml:space="preserve"> </w:t>
      </w:r>
      <w:hyperlink r:id="rId52">
        <w:r>
          <w:rPr>
            <w:rStyle w:val="Hyperlink"/>
          </w:rPr>
          <w:t xml:space="preserve">R0035</w:t>
        </w:r>
      </w:hyperlink>
      <w:r>
        <w:t xml:space="preserve">,</w:t>
      </w:r>
      <w:r>
        <w:t xml:space="preserve"> </w:t>
      </w:r>
      <w:hyperlink r:id="rId64">
        <w:r>
          <w:rPr>
            <w:rStyle w:val="Hyperlink"/>
          </w:rPr>
          <w:t xml:space="preserve">R0184</w:t>
        </w:r>
      </w:hyperlink>
      <w:r>
        <w:t xml:space="preserve">,</w:t>
      </w:r>
      <w:r>
        <w:t xml:space="preserve"> </w:t>
      </w:r>
      <w:hyperlink r:id="rId65">
        <w:r>
          <w:rPr>
            <w:rStyle w:val="Hyperlink"/>
          </w:rPr>
          <w:t xml:space="preserve">R0268</w:t>
        </w:r>
      </w:hyperlink>
      <w:r>
        <w:t xml:space="preserve">.</w:t>
      </w:r>
    </w:p>
    <w:bookmarkEnd w:id="66"/>
    <w:bookmarkEnd w:id="6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nl-NL"/>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Calibri" w:hAnsi="Calibri"/>
      <w:b w:val="0"/>
      <w:sz w:val="21"/>
    </w:rPr>
  </w:style>
  <w:style w:styleId="BodyText" w:type="paragraph">
    <w:name w:val="Body Text"/>
    <w:basedOn w:val="Normal"/>
    <w:link w:val="BodyTextChar"/>
    <w:pPr>
      <w:spacing w:after="180" w:before="180"/>
    </w:pPr>
    <w:qFormat/>
    <w:rPr>
      <w:rFonts w:ascii="Calibri" w:hAnsi="Calibri"/>
      <w:b w:val="0"/>
      <w:sz w:val="21"/>
    </w:rPr>
  </w:style>
  <w:style w:customStyle="1" w:styleId="FirstParagraph" w:type="paragraph">
    <w:name w:val="First Paragraph"/>
    <w:basedOn w:val="BodyText"/>
    <w:next w:val="BodyText"/>
    <w:qFormat/>
    <w:rPr>
      <w:rFonts w:ascii="Calibri" w:hAnsi="Calibri"/>
      <w:b w:val="0"/>
      <w:sz w:val="21"/>
    </w:rPr>
  </w:style>
  <w:style w:customStyle="1" w:styleId="Compact" w:type="paragraph">
    <w:name w:val="Compact"/>
    <w:basedOn w:val="BodyText"/>
    <w:qFormat/>
    <w:pPr>
      <w:spacing w:after="36" w:before="36"/>
    </w:pPr>
    <w:rPr>
      <w:rFonts w:ascii="Calibri" w:hAnsi="Calibri"/>
      <w:b w:val="0"/>
      <w:sz w:val="20"/>
    </w:rPr>
  </w:style>
  <w:style w:styleId="Title" w:type="paragraph">
    <w:name w:val="Title"/>
    <w:basedOn w:val="Normal"/>
    <w:next w:val="BodyText"/>
    <w:qFormat/>
    <w:pPr>
      <w:keepNext/>
      <w:keepLines/>
      <w:spacing w:after="240" w:before="480"/>
      <w:jc w:val="center"/>
    </w:pPr>
    <w:rPr>
      <w:rFonts w:ascii="Calibri" w:asciiTheme="majorHAnsi" w:cstheme="majorBidi" w:eastAsiaTheme="majorEastAsia" w:hAnsi="Calibri" w:hAnsiTheme="majorHAnsi"/>
      <w:b/>
      <w:bCs/>
      <w:color w:val="1F4E79"/>
      <w:sz w:val="40"/>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49" Type="http://schemas.openxmlformats.org/officeDocument/2006/relationships/hyperlink" Target="https://crailo.com/lezen.html?b=R0014" TargetMode="External"/><Relationship Id="rId51" Type="http://schemas.openxmlformats.org/officeDocument/2006/relationships/hyperlink" Target="https://crailo.com/lezen.html?b=R0021" TargetMode="External"/><Relationship Id="rId50" Type="http://schemas.openxmlformats.org/officeDocument/2006/relationships/hyperlink" Target="https://crailo.com/lezen.html?b=R0029" TargetMode="External"/><Relationship Id="rId52" Type="http://schemas.openxmlformats.org/officeDocument/2006/relationships/hyperlink" Target="https://crailo.com/lezen.html?b=R0035" TargetMode="External"/><Relationship Id="rId38" Type="http://schemas.openxmlformats.org/officeDocument/2006/relationships/hyperlink" Target="https://crailo.com/lezen.html?b=R0038" TargetMode="External"/><Relationship Id="rId62" Type="http://schemas.openxmlformats.org/officeDocument/2006/relationships/hyperlink" Target="https://crailo.com/lezen.html?b=R0045" TargetMode="External"/><Relationship Id="rId37" Type="http://schemas.openxmlformats.org/officeDocument/2006/relationships/hyperlink" Target="https://crailo.com/lezen.html?b=R0046" TargetMode="External"/><Relationship Id="rId43" Type="http://schemas.openxmlformats.org/officeDocument/2006/relationships/hyperlink" Target="https://crailo.com/lezen.html?b=R0048" TargetMode="External"/><Relationship Id="rId42" Type="http://schemas.openxmlformats.org/officeDocument/2006/relationships/hyperlink" Target="https://crailo.com/lezen.html?b=R0053" TargetMode="External"/><Relationship Id="rId44" Type="http://schemas.openxmlformats.org/officeDocument/2006/relationships/hyperlink" Target="https://crailo.com/lezen.html?b=R0058" TargetMode="External"/><Relationship Id="rId60" Type="http://schemas.openxmlformats.org/officeDocument/2006/relationships/hyperlink" Target="https://crailo.com/lezen.html?b=R0108" TargetMode="External"/><Relationship Id="rId45" Type="http://schemas.openxmlformats.org/officeDocument/2006/relationships/hyperlink" Target="https://crailo.com/lezen.html?b=R0124" TargetMode="External"/><Relationship Id="rId36" Type="http://schemas.openxmlformats.org/officeDocument/2006/relationships/hyperlink" Target="https://crailo.com/lezen.html?b=R0137" TargetMode="External"/><Relationship Id="rId64" Type="http://schemas.openxmlformats.org/officeDocument/2006/relationships/hyperlink" Target="https://crailo.com/lezen.html?b=R0184" TargetMode="External"/><Relationship Id="rId54" Type="http://schemas.openxmlformats.org/officeDocument/2006/relationships/hyperlink" Target="https://crailo.com/lezen.html?b=R0187" TargetMode="External"/><Relationship Id="rId53" Type="http://schemas.openxmlformats.org/officeDocument/2006/relationships/hyperlink" Target="https://crailo.com/lezen.html?b=R0193" TargetMode="External"/><Relationship Id="rId65" Type="http://schemas.openxmlformats.org/officeDocument/2006/relationships/hyperlink" Target="https://crailo.com/lezen.html?b=R0268" TargetMode="External"/><Relationship Id="rId46" Type="http://schemas.openxmlformats.org/officeDocument/2006/relationships/hyperlink" Target="https://crailo.com/lezen.html?b=R0278" TargetMode="External"/><Relationship Id="rId48" Type="http://schemas.openxmlformats.org/officeDocument/2006/relationships/hyperlink" Target="https://crailo.com/lezen.html?b=R0279" TargetMode="External"/><Relationship Id="rId56" Type="http://schemas.openxmlformats.org/officeDocument/2006/relationships/hyperlink" Target="https://crailo.com/lezen.html?b=R0281" TargetMode="External"/><Relationship Id="rId47" Type="http://schemas.openxmlformats.org/officeDocument/2006/relationships/hyperlink" Target="https://crailo.com/lezen.html?b=R0287" TargetMode="External"/><Relationship Id="rId40" Type="http://schemas.openxmlformats.org/officeDocument/2006/relationships/hyperlink" Target="https://crailo.com/lezen.html?b=R0292" TargetMode="External"/><Relationship Id="rId41" Type="http://schemas.openxmlformats.org/officeDocument/2006/relationships/hyperlink" Target="https://crailo.com/lezen.html?b=R0296" TargetMode="External"/><Relationship Id="rId58" Type="http://schemas.openxmlformats.org/officeDocument/2006/relationships/hyperlink" Target="https://crailo.com/lezen.html?b=R0315" TargetMode="External"/><Relationship Id="rId59" Type="http://schemas.openxmlformats.org/officeDocument/2006/relationships/hyperlink" Target="https://crailo.com/lezen.html?b=R0317" TargetMode="External"/><Relationship Id="rId39" Type="http://schemas.openxmlformats.org/officeDocument/2006/relationships/hyperlink" Target="https://crailo.com/lezen.html?b=R0921" TargetMode="External"/><Relationship Id="rId57" Type="http://schemas.openxmlformats.org/officeDocument/2006/relationships/hyperlink" Target="https://crailo.com/lezen.html?b=R0928" TargetMode="External"/><Relationship Id="rId63" Type="http://schemas.openxmlformats.org/officeDocument/2006/relationships/hyperlink" Target="https://crailo.com/lezen.html?b=R0971" TargetMode="External"/><Relationship Id="rId61" Type="http://schemas.openxmlformats.org/officeDocument/2006/relationships/hyperlink" Target="https://crailo.com/lezen.html?b=R0981" TargetMode="External"/><Relationship Id="rId55" Type="http://schemas.openxmlformats.org/officeDocument/2006/relationships/hyperlink" Target="https://crailo.com/lezen.html?b=R1062" TargetMode="External"/></Relationships>
</file>

<file path=word/_rels/footnotes.xml.rels><?xml version='1.0' encoding='UTF-8' standalone='yes'?>
<Relationships xmlns="http://schemas.openxmlformats.org/package/2006/relationships"><Relationship Id="rId49" Type="http://schemas.openxmlformats.org/officeDocument/2006/relationships/hyperlink" Target="https://crailo.com/lezen.html?b=R0014" TargetMode="External"/><Relationship Id="rId51" Type="http://schemas.openxmlformats.org/officeDocument/2006/relationships/hyperlink" Target="https://crailo.com/lezen.html?b=R0021" TargetMode="External"/><Relationship Id="rId50" Type="http://schemas.openxmlformats.org/officeDocument/2006/relationships/hyperlink" Target="https://crailo.com/lezen.html?b=R0029" TargetMode="External"/><Relationship Id="rId52" Type="http://schemas.openxmlformats.org/officeDocument/2006/relationships/hyperlink" Target="https://crailo.com/lezen.html?b=R0035" TargetMode="External"/><Relationship Id="rId38" Type="http://schemas.openxmlformats.org/officeDocument/2006/relationships/hyperlink" Target="https://crailo.com/lezen.html?b=R0038" TargetMode="External"/><Relationship Id="rId62" Type="http://schemas.openxmlformats.org/officeDocument/2006/relationships/hyperlink" Target="https://crailo.com/lezen.html?b=R0045" TargetMode="External"/><Relationship Id="rId37" Type="http://schemas.openxmlformats.org/officeDocument/2006/relationships/hyperlink" Target="https://crailo.com/lezen.html?b=R0046" TargetMode="External"/><Relationship Id="rId43" Type="http://schemas.openxmlformats.org/officeDocument/2006/relationships/hyperlink" Target="https://crailo.com/lezen.html?b=R0048" TargetMode="External"/><Relationship Id="rId42" Type="http://schemas.openxmlformats.org/officeDocument/2006/relationships/hyperlink" Target="https://crailo.com/lezen.html?b=R0053" TargetMode="External"/><Relationship Id="rId44" Type="http://schemas.openxmlformats.org/officeDocument/2006/relationships/hyperlink" Target="https://crailo.com/lezen.html?b=R0058" TargetMode="External"/><Relationship Id="rId60" Type="http://schemas.openxmlformats.org/officeDocument/2006/relationships/hyperlink" Target="https://crailo.com/lezen.html?b=R0108" TargetMode="External"/><Relationship Id="rId45" Type="http://schemas.openxmlformats.org/officeDocument/2006/relationships/hyperlink" Target="https://crailo.com/lezen.html?b=R0124" TargetMode="External"/><Relationship Id="rId36" Type="http://schemas.openxmlformats.org/officeDocument/2006/relationships/hyperlink" Target="https://crailo.com/lezen.html?b=R0137" TargetMode="External"/><Relationship Id="rId64" Type="http://schemas.openxmlformats.org/officeDocument/2006/relationships/hyperlink" Target="https://crailo.com/lezen.html?b=R0184" TargetMode="External"/><Relationship Id="rId54" Type="http://schemas.openxmlformats.org/officeDocument/2006/relationships/hyperlink" Target="https://crailo.com/lezen.html?b=R0187" TargetMode="External"/><Relationship Id="rId53" Type="http://schemas.openxmlformats.org/officeDocument/2006/relationships/hyperlink" Target="https://crailo.com/lezen.html?b=R0193" TargetMode="External"/><Relationship Id="rId65" Type="http://schemas.openxmlformats.org/officeDocument/2006/relationships/hyperlink" Target="https://crailo.com/lezen.html?b=R0268" TargetMode="External"/><Relationship Id="rId46" Type="http://schemas.openxmlformats.org/officeDocument/2006/relationships/hyperlink" Target="https://crailo.com/lezen.html?b=R0278" TargetMode="External"/><Relationship Id="rId48" Type="http://schemas.openxmlformats.org/officeDocument/2006/relationships/hyperlink" Target="https://crailo.com/lezen.html?b=R0279" TargetMode="External"/><Relationship Id="rId56" Type="http://schemas.openxmlformats.org/officeDocument/2006/relationships/hyperlink" Target="https://crailo.com/lezen.html?b=R0281" TargetMode="External"/><Relationship Id="rId47" Type="http://schemas.openxmlformats.org/officeDocument/2006/relationships/hyperlink" Target="https://crailo.com/lezen.html?b=R0287" TargetMode="External"/><Relationship Id="rId40" Type="http://schemas.openxmlformats.org/officeDocument/2006/relationships/hyperlink" Target="https://crailo.com/lezen.html?b=R0292" TargetMode="External"/><Relationship Id="rId41" Type="http://schemas.openxmlformats.org/officeDocument/2006/relationships/hyperlink" Target="https://crailo.com/lezen.html?b=R0296" TargetMode="External"/><Relationship Id="rId58" Type="http://schemas.openxmlformats.org/officeDocument/2006/relationships/hyperlink" Target="https://crailo.com/lezen.html?b=R0315" TargetMode="External"/><Relationship Id="rId59" Type="http://schemas.openxmlformats.org/officeDocument/2006/relationships/hyperlink" Target="https://crailo.com/lezen.html?b=R0317" TargetMode="External"/><Relationship Id="rId39" Type="http://schemas.openxmlformats.org/officeDocument/2006/relationships/hyperlink" Target="https://crailo.com/lezen.html?b=R0921" TargetMode="External"/><Relationship Id="rId57" Type="http://schemas.openxmlformats.org/officeDocument/2006/relationships/hyperlink" Target="https://crailo.com/lezen.html?b=R0928" TargetMode="External"/><Relationship Id="rId63" Type="http://schemas.openxmlformats.org/officeDocument/2006/relationships/hyperlink" Target="https://crailo.com/lezen.html?b=R0971" TargetMode="External"/><Relationship Id="rId61" Type="http://schemas.openxmlformats.org/officeDocument/2006/relationships/hyperlink" Target="https://crailo.com/lezen.html?b=R0981" TargetMode="External"/><Relationship Id="rId55" Type="http://schemas.openxmlformats.org/officeDocument/2006/relationships/hyperlink" Target="https://crailo.com/lezen.html?b=R10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Voorbeeldnotitie 5: afspraken bij mogelijke opvang</dc:title>
  <dc:creator/>
  <dc:language>nl-NL</dc:language>
  <cp:keywords/>
  <dcterms:created xsi:type="dcterms:W3CDTF">2026-10-12T20:16:34Z</dcterms:created>
  <dcterms:modified xsi:type="dcterms:W3CDTF">2026-10-12T20:16:34Z</dcterms:modified>
  <cp:lastModifiedBy/>
  <dc:description/>
</cp:coreProperties>
</file>

<file path=docProps/custom.xml><?xml version="1.0" encoding="utf-8"?>
<Properties xmlns="http://schemas.openxmlformats.org/officeDocument/2006/custom-properties" xmlns:vt="http://schemas.openxmlformats.org/officeDocument/2006/docPropsVTypes"/>
</file>